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35" w:rsidRDefault="00497135" w:rsidP="002D7B3C">
      <w:pPr>
        <w:autoSpaceDE w:val="0"/>
        <w:autoSpaceDN w:val="0"/>
        <w:jc w:val="center"/>
        <w:rPr>
          <w:rFonts w:ascii="Arial" w:hAnsi="Arial" w:cs="Arial"/>
          <w:b/>
          <w:color w:val="244061" w:themeColor="accent1" w:themeShade="80"/>
        </w:rPr>
      </w:pPr>
    </w:p>
    <w:p w:rsidR="002D7B3C" w:rsidRPr="002A3B6A" w:rsidRDefault="002D7B3C" w:rsidP="002D7B3C">
      <w:pPr>
        <w:autoSpaceDE w:val="0"/>
        <w:autoSpaceDN w:val="0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2A3B6A">
        <w:rPr>
          <w:rFonts w:ascii="Arial" w:hAnsi="Arial" w:cs="Arial"/>
          <w:b/>
          <w:color w:val="244061" w:themeColor="accent1" w:themeShade="80"/>
          <w:sz w:val="24"/>
          <w:szCs w:val="24"/>
        </w:rPr>
        <w:t>INSTRUCTIVO PARA COMPLETAR EL FORMULARIO DE INFORMACIÓN ESTADÍSTICA RELACIONADA CON EL RIESGO DE BLANQUEO</w:t>
      </w:r>
      <w:r w:rsidRPr="002A3B6A">
        <w:rPr>
          <w:rFonts w:ascii="Arial" w:hAnsi="Arial" w:cs="Arial"/>
          <w:b/>
          <w:color w:val="244061" w:themeColor="accent1" w:themeShade="80"/>
          <w:sz w:val="24"/>
          <w:szCs w:val="24"/>
        </w:rPr>
        <w:br/>
        <w:t>DE CAPITALES, FINANCIAMIENTO DEL TERRORISMO Y</w:t>
      </w:r>
      <w:r w:rsidRPr="002A3B6A">
        <w:rPr>
          <w:rFonts w:ascii="Arial" w:hAnsi="Arial" w:cs="Arial"/>
          <w:b/>
          <w:color w:val="244061" w:themeColor="accent1" w:themeShade="80"/>
          <w:sz w:val="24"/>
          <w:szCs w:val="24"/>
        </w:rPr>
        <w:br/>
        <w:t>FINANCIAMIENTO DE LA PROLIFERACIÓN DE ARMAS DE</w:t>
      </w:r>
      <w:r w:rsidRPr="002A3B6A">
        <w:rPr>
          <w:rFonts w:ascii="Arial" w:hAnsi="Arial" w:cs="Arial"/>
          <w:b/>
          <w:color w:val="244061" w:themeColor="accent1" w:themeShade="80"/>
          <w:sz w:val="24"/>
          <w:szCs w:val="24"/>
        </w:rPr>
        <w:br/>
        <w:t xml:space="preserve">DESTRUCCIÓN MASIVA PARA EL SECTOR BANCARIO </w:t>
      </w:r>
    </w:p>
    <w:p w:rsidR="002D7B3C" w:rsidRPr="002A3B6A" w:rsidRDefault="002D7B3C" w:rsidP="002D7B3C">
      <w:pPr>
        <w:autoSpaceDE w:val="0"/>
        <w:autoSpaceDN w:val="0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:rsidR="002D7B3C" w:rsidRPr="002A3B6A" w:rsidRDefault="002D7B3C" w:rsidP="002D7B3C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</w:p>
    <w:p w:rsidR="002D7B3C" w:rsidRPr="002A3B6A" w:rsidRDefault="002D7B3C" w:rsidP="002D7B3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El documento de captura de información estadística requerido por esta Superintendencia para el riesgo de blanqueo de capitales, financiamiento del terrorismo y financiamiento de la proliferación de armas de destrucción masiva, en adelante BC/FT/FPADM, consta de un archivo en Excel con seis (6) hojas de cálculo, así:</w:t>
      </w:r>
    </w:p>
    <w:p w:rsidR="002D7B3C" w:rsidRPr="002A3B6A" w:rsidRDefault="002D7B3C" w:rsidP="002D7B3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pStyle w:val="Prrafodelista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Declaración, </w:t>
      </w:r>
    </w:p>
    <w:p w:rsidR="002D7B3C" w:rsidRPr="002A3B6A" w:rsidRDefault="002D7B3C" w:rsidP="002D7B3C">
      <w:pPr>
        <w:pStyle w:val="Prrafodelista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Información Estructural y Financiera </w:t>
      </w:r>
    </w:p>
    <w:p w:rsidR="002D7B3C" w:rsidRPr="002A3B6A" w:rsidRDefault="002D7B3C" w:rsidP="002D7B3C">
      <w:pPr>
        <w:pStyle w:val="Prrafodelista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Información del riesgo cliente, </w:t>
      </w:r>
    </w:p>
    <w:p w:rsidR="002D7B3C" w:rsidRPr="002A3B6A" w:rsidRDefault="002D7B3C" w:rsidP="002D7B3C">
      <w:pPr>
        <w:pStyle w:val="Prrafodelista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Información de riesgo productos y servicios,</w:t>
      </w:r>
    </w:p>
    <w:p w:rsidR="002D7B3C" w:rsidRPr="002A3B6A" w:rsidRDefault="002D7B3C" w:rsidP="002D7B3C">
      <w:pPr>
        <w:pStyle w:val="Prrafodelista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Información del riesgo de canales de distribución, </w:t>
      </w:r>
      <w:r w:rsidR="00D67ED5" w:rsidRPr="002A3B6A">
        <w:rPr>
          <w:rFonts w:ascii="Arial" w:hAnsi="Arial" w:cs="Arial"/>
          <w:sz w:val="24"/>
          <w:szCs w:val="24"/>
        </w:rPr>
        <w:t>e</w:t>
      </w:r>
    </w:p>
    <w:p w:rsidR="002D7B3C" w:rsidRPr="002A3B6A" w:rsidRDefault="002D7B3C" w:rsidP="002D7B3C">
      <w:pPr>
        <w:pStyle w:val="Prrafodelista"/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Información del riesgo zona geográfica</w:t>
      </w:r>
    </w:p>
    <w:p w:rsidR="002D7B3C" w:rsidRPr="002A3B6A" w:rsidRDefault="002D7B3C" w:rsidP="002D7B3C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</w:p>
    <w:p w:rsidR="002D7B3C" w:rsidRPr="002A3B6A" w:rsidRDefault="002D7B3C" w:rsidP="002D7B3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Esta solicitud de información tendrá carácter semestral. Las fechas de corte serán </w:t>
      </w:r>
      <w:r w:rsidR="00D67ED5" w:rsidRPr="002A3B6A">
        <w:rPr>
          <w:rFonts w:ascii="Arial" w:hAnsi="Arial" w:cs="Arial"/>
          <w:sz w:val="24"/>
          <w:szCs w:val="24"/>
        </w:rPr>
        <w:t>a</w:t>
      </w:r>
      <w:r w:rsidRPr="002A3B6A">
        <w:rPr>
          <w:rFonts w:ascii="Arial" w:hAnsi="Arial" w:cs="Arial"/>
          <w:sz w:val="24"/>
          <w:szCs w:val="24"/>
        </w:rPr>
        <w:t xml:space="preserve">l 30 de junio y </w:t>
      </w:r>
      <w:r w:rsidR="00D67ED5" w:rsidRPr="002A3B6A">
        <w:rPr>
          <w:rFonts w:ascii="Arial" w:hAnsi="Arial" w:cs="Arial"/>
          <w:sz w:val="24"/>
          <w:szCs w:val="24"/>
        </w:rPr>
        <w:t>a</w:t>
      </w:r>
      <w:r w:rsidRPr="002A3B6A">
        <w:rPr>
          <w:rFonts w:ascii="Arial" w:hAnsi="Arial" w:cs="Arial"/>
          <w:sz w:val="24"/>
          <w:szCs w:val="24"/>
        </w:rPr>
        <w:t xml:space="preserve">l 31 de diciembre de cada año. La información deberá ser remitida a la Superintendencia </w:t>
      </w:r>
      <w:r w:rsidR="00064FFC">
        <w:rPr>
          <w:rFonts w:ascii="Arial" w:hAnsi="Arial" w:cs="Arial"/>
          <w:sz w:val="24"/>
          <w:szCs w:val="24"/>
        </w:rPr>
        <w:t>de Bancos</w:t>
      </w:r>
      <w:r w:rsidRPr="002A3B6A">
        <w:rPr>
          <w:rFonts w:ascii="Arial" w:hAnsi="Arial" w:cs="Arial"/>
          <w:sz w:val="24"/>
          <w:szCs w:val="24"/>
        </w:rPr>
        <w:t xml:space="preserve"> de Panamá a más tardar el día 3</w:t>
      </w:r>
      <w:r w:rsidR="00D67ED5" w:rsidRPr="002A3B6A">
        <w:rPr>
          <w:rFonts w:ascii="Arial" w:hAnsi="Arial" w:cs="Arial"/>
          <w:sz w:val="24"/>
          <w:szCs w:val="24"/>
        </w:rPr>
        <w:t xml:space="preserve">1 </w:t>
      </w:r>
      <w:r w:rsidRPr="002A3B6A">
        <w:rPr>
          <w:rFonts w:ascii="Arial" w:hAnsi="Arial" w:cs="Arial"/>
          <w:sz w:val="24"/>
          <w:szCs w:val="24"/>
        </w:rPr>
        <w:t>del mes siguiente a la fecha de corte de cada periodo.</w:t>
      </w:r>
    </w:p>
    <w:p w:rsidR="002D7B3C" w:rsidRPr="002A3B6A" w:rsidRDefault="002D7B3C" w:rsidP="002D7B3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Al momento de completar la información requerida en el documento, tenga en cuenta:</w:t>
      </w:r>
    </w:p>
    <w:p w:rsidR="002D7B3C" w:rsidRPr="002A3B6A" w:rsidRDefault="002D7B3C" w:rsidP="002D7B3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pStyle w:val="Prrafodelista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Solo diligenciar las celdas que se encuentran en color gris </w:t>
      </w:r>
    </w:p>
    <w:p w:rsidR="002D7B3C" w:rsidRPr="002A3B6A" w:rsidRDefault="002D7B3C" w:rsidP="002D7B3C">
      <w:pPr>
        <w:pStyle w:val="Prrafodelista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Toda la información que comprenda importes debe ser remitida en la moneda local Balboas (B/.),  sin puntos, ni comas y tampoco signo de moneda.</w:t>
      </w:r>
    </w:p>
    <w:p w:rsidR="002D7B3C" w:rsidRPr="002A3B6A" w:rsidRDefault="002D7B3C" w:rsidP="002D7B3C">
      <w:pPr>
        <w:pStyle w:val="Prrafodelista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Por ninguna razón debe agregar, eliminar o modificar la estructura del archivo.</w:t>
      </w:r>
    </w:p>
    <w:p w:rsidR="002D7B3C" w:rsidRPr="002A3B6A" w:rsidRDefault="002D7B3C" w:rsidP="002D7B3C">
      <w:pPr>
        <w:pStyle w:val="Prrafodelista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Los formatos de fecha debe ser: dd/mm/aaaa.</w:t>
      </w:r>
    </w:p>
    <w:p w:rsidR="002D7B3C" w:rsidRPr="002A3B6A" w:rsidRDefault="002D7B3C" w:rsidP="002D7B3C">
      <w:pPr>
        <w:pStyle w:val="Prrafodelista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Las celdas que requieran información cuantitativa debe ser diligenciada sin puntos, comas o descrita en texto.</w:t>
      </w:r>
    </w:p>
    <w:p w:rsidR="002D7B3C" w:rsidRPr="002A3B6A" w:rsidRDefault="002D7B3C" w:rsidP="002D7B3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pStyle w:val="Prrafodelista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 w:rsidRPr="002A3B6A">
        <w:rPr>
          <w:rFonts w:ascii="Arial" w:hAnsi="Arial" w:cs="Arial"/>
          <w:b/>
          <w:sz w:val="24"/>
          <w:szCs w:val="24"/>
        </w:rPr>
        <w:t>DECLARACIÓN:</w:t>
      </w:r>
    </w:p>
    <w:p w:rsidR="000439DD" w:rsidRDefault="000544B3" w:rsidP="000544B3">
      <w:pPr>
        <w:pStyle w:val="Prrafodelista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Fun</w:t>
      </w:r>
      <w:r w:rsidR="000439DD">
        <w:rPr>
          <w:rFonts w:ascii="Arial" w:hAnsi="Arial" w:cs="Arial"/>
          <w:sz w:val="24"/>
          <w:szCs w:val="24"/>
        </w:rPr>
        <w:t xml:space="preserve">damento Legal: </w:t>
      </w:r>
    </w:p>
    <w:p w:rsidR="000439DD" w:rsidRDefault="000439DD" w:rsidP="000544B3">
      <w:pPr>
        <w:pStyle w:val="Prrafodelista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23 del 27 de abril de 2015</w:t>
      </w:r>
    </w:p>
    <w:p w:rsidR="000544B3" w:rsidRPr="002A3B6A" w:rsidRDefault="000439DD" w:rsidP="000544B3">
      <w:pPr>
        <w:pStyle w:val="Prrafodelista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Acuerdo 004-2014</w:t>
      </w:r>
    </w:p>
    <w:p w:rsidR="002D7B3C" w:rsidRPr="002A3B6A" w:rsidRDefault="002D7B3C" w:rsidP="002D7B3C">
      <w:pPr>
        <w:pStyle w:val="Prrafodelista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pStyle w:val="Prrafodelista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lastRenderedPageBreak/>
        <w:t>Es de suma importancia advertir que la información detallada en el presente instructivo compromete institucionalmente a la entidad reportante y personalmente a quienes la presentan a esta autoridad.</w:t>
      </w:r>
    </w:p>
    <w:p w:rsidR="002D7B3C" w:rsidRPr="002A3B6A" w:rsidRDefault="002D7B3C" w:rsidP="002D7B3C">
      <w:pPr>
        <w:pStyle w:val="Prrafodelista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pStyle w:val="Prrafodelista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En tal sentido, el Banco certifica que las declaraciones e información contenidas en dicho </w:t>
      </w:r>
      <w:r w:rsidR="000544B3" w:rsidRPr="002A3B6A">
        <w:rPr>
          <w:rFonts w:ascii="Arial" w:hAnsi="Arial" w:cs="Arial"/>
          <w:sz w:val="24"/>
          <w:szCs w:val="24"/>
        </w:rPr>
        <w:t>formulario</w:t>
      </w:r>
      <w:r w:rsidRPr="002A3B6A">
        <w:rPr>
          <w:rFonts w:ascii="Arial" w:hAnsi="Arial" w:cs="Arial"/>
          <w:sz w:val="24"/>
          <w:szCs w:val="24"/>
        </w:rPr>
        <w:t xml:space="preserve"> son verdaderas y correctas y autoriza a la Superintendencia de Bancos de Panamá a usarlo para monitoreo y supervisión. Dicha declaración debe indicar nombre y cargo de quien completa el documento, además del nombre del Oficial de Cumplimiento que acompaña la veracidad de la información reportada.</w:t>
      </w:r>
    </w:p>
    <w:p w:rsidR="002D7B3C" w:rsidRPr="002A3B6A" w:rsidRDefault="002D7B3C" w:rsidP="002D7B3C">
      <w:pPr>
        <w:pStyle w:val="Prrafodelista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0544B3">
      <w:pPr>
        <w:pStyle w:val="Prrafodelista"/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Fecha del reporte (dd/mm/a</w:t>
      </w:r>
      <w:r w:rsidR="000544B3" w:rsidRPr="002A3B6A">
        <w:rPr>
          <w:rFonts w:ascii="Arial" w:hAnsi="Arial" w:cs="Arial"/>
          <w:sz w:val="24"/>
          <w:szCs w:val="24"/>
        </w:rPr>
        <w:t>aa</w:t>
      </w:r>
      <w:r w:rsidRPr="002A3B6A">
        <w:rPr>
          <w:rFonts w:ascii="Arial" w:hAnsi="Arial" w:cs="Arial"/>
          <w:sz w:val="24"/>
          <w:szCs w:val="24"/>
        </w:rPr>
        <w:t>a): corresponde a la fecha que se realiza el reporte a esta autoridad. Formato (dd/mm/aaaa)</w:t>
      </w:r>
    </w:p>
    <w:p w:rsidR="002D7B3C" w:rsidRPr="002A3B6A" w:rsidRDefault="002D7B3C" w:rsidP="002D7B3C">
      <w:pPr>
        <w:pStyle w:val="Prrafodelista"/>
        <w:autoSpaceDE w:val="0"/>
        <w:autoSpaceDN w:val="0"/>
        <w:ind w:left="108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pStyle w:val="Prrafodelista"/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Fecha del corte del reporte (dd/mm/aa</w:t>
      </w:r>
      <w:r w:rsidR="000544B3" w:rsidRPr="002A3B6A">
        <w:rPr>
          <w:rFonts w:ascii="Arial" w:hAnsi="Arial" w:cs="Arial"/>
          <w:sz w:val="24"/>
          <w:szCs w:val="24"/>
        </w:rPr>
        <w:t>aa</w:t>
      </w:r>
      <w:r w:rsidRPr="002A3B6A">
        <w:rPr>
          <w:rFonts w:ascii="Arial" w:hAnsi="Arial" w:cs="Arial"/>
          <w:sz w:val="24"/>
          <w:szCs w:val="24"/>
        </w:rPr>
        <w:t xml:space="preserve">): </w:t>
      </w:r>
      <w:r w:rsidRPr="002A3B6A">
        <w:rPr>
          <w:rFonts w:ascii="Arial" w:hAnsi="Arial" w:cs="Arial"/>
          <w:b/>
          <w:sz w:val="24"/>
          <w:szCs w:val="24"/>
        </w:rPr>
        <w:t>Por única vez</w:t>
      </w:r>
      <w:r w:rsidRPr="002A3B6A">
        <w:rPr>
          <w:rFonts w:ascii="Arial" w:hAnsi="Arial" w:cs="Arial"/>
          <w:sz w:val="24"/>
          <w:szCs w:val="24"/>
        </w:rPr>
        <w:t xml:space="preserve"> y con el propósito de contar con información de dos (2) periodos diferentes, el presente Formulario de Captura de Información Estadística en materia del riesgo de PBC/CFT/CFPADM </w:t>
      </w:r>
      <w:r w:rsidRPr="002A3B6A">
        <w:rPr>
          <w:rFonts w:ascii="Arial" w:hAnsi="Arial" w:cs="Arial"/>
          <w:b/>
          <w:sz w:val="24"/>
          <w:szCs w:val="24"/>
        </w:rPr>
        <w:t>requiere ser diligenciado inicialmente para los dos c</w:t>
      </w:r>
      <w:r w:rsidR="0063595E" w:rsidRPr="002A3B6A">
        <w:rPr>
          <w:rFonts w:ascii="Arial" w:hAnsi="Arial" w:cs="Arial"/>
          <w:b/>
          <w:sz w:val="24"/>
          <w:szCs w:val="24"/>
        </w:rPr>
        <w:t>ortes semestrales del año 2016:</w:t>
      </w:r>
    </w:p>
    <w:p w:rsidR="0063595E" w:rsidRPr="002A3B6A" w:rsidRDefault="0063595E" w:rsidP="0063595E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0544B3">
      <w:pPr>
        <w:pStyle w:val="Prrafodelista"/>
        <w:autoSpaceDE w:val="0"/>
        <w:autoSpaceDN w:val="0"/>
        <w:ind w:left="108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b/>
          <w:sz w:val="24"/>
          <w:szCs w:val="24"/>
        </w:rPr>
        <w:t>Primer Reporte o Documento 1.</w:t>
      </w:r>
      <w:r w:rsidRPr="002A3B6A">
        <w:rPr>
          <w:rFonts w:ascii="Arial" w:hAnsi="Arial" w:cs="Arial"/>
          <w:sz w:val="24"/>
          <w:szCs w:val="24"/>
        </w:rPr>
        <w:t xml:space="preserve"> La fecha de corte para el reporte de información será al </w:t>
      </w:r>
      <w:r w:rsidRPr="002A3B6A">
        <w:rPr>
          <w:rFonts w:ascii="Arial" w:hAnsi="Arial" w:cs="Arial"/>
          <w:b/>
          <w:sz w:val="24"/>
          <w:szCs w:val="24"/>
        </w:rPr>
        <w:t>30 de junio de 2016</w:t>
      </w:r>
      <w:r w:rsidR="005A10CE" w:rsidRPr="002A3B6A">
        <w:rPr>
          <w:rFonts w:ascii="Arial" w:hAnsi="Arial" w:cs="Arial"/>
          <w:b/>
          <w:sz w:val="24"/>
          <w:szCs w:val="24"/>
        </w:rPr>
        <w:t>.</w:t>
      </w:r>
      <w:r w:rsidR="005A10CE" w:rsidRPr="002A3B6A">
        <w:rPr>
          <w:rFonts w:ascii="Arial" w:hAnsi="Arial" w:cs="Arial"/>
          <w:sz w:val="24"/>
          <w:szCs w:val="24"/>
        </w:rPr>
        <w:t xml:space="preserve"> S</w:t>
      </w:r>
      <w:r w:rsidRPr="002A3B6A">
        <w:rPr>
          <w:rFonts w:ascii="Arial" w:hAnsi="Arial" w:cs="Arial"/>
          <w:sz w:val="24"/>
          <w:szCs w:val="24"/>
        </w:rPr>
        <w:t>in embargo, para las variables transaccionales (Comisiones</w:t>
      </w:r>
      <w:r w:rsidR="000544B3" w:rsidRPr="002A3B6A">
        <w:rPr>
          <w:rFonts w:ascii="Arial" w:hAnsi="Arial" w:cs="Arial"/>
          <w:sz w:val="24"/>
          <w:szCs w:val="24"/>
        </w:rPr>
        <w:t>, transacciones por transferencias, etc.)</w:t>
      </w:r>
      <w:r w:rsidR="005A10CE" w:rsidRPr="002A3B6A">
        <w:rPr>
          <w:rFonts w:ascii="Arial" w:hAnsi="Arial" w:cs="Arial"/>
          <w:sz w:val="24"/>
          <w:szCs w:val="24"/>
        </w:rPr>
        <w:t xml:space="preserve">, </w:t>
      </w:r>
      <w:r w:rsidRPr="002A3B6A">
        <w:rPr>
          <w:rFonts w:ascii="Arial" w:hAnsi="Arial" w:cs="Arial"/>
          <w:sz w:val="24"/>
          <w:szCs w:val="24"/>
        </w:rPr>
        <w:t xml:space="preserve"> se debe considerar el </w:t>
      </w:r>
      <w:r w:rsidRPr="002A3B6A">
        <w:rPr>
          <w:rFonts w:ascii="Arial" w:hAnsi="Arial" w:cs="Arial"/>
          <w:b/>
          <w:sz w:val="24"/>
          <w:szCs w:val="24"/>
        </w:rPr>
        <w:t>periodo comprendido entre 1 de enero 2016 a 30 de junio 2016</w:t>
      </w:r>
      <w:r w:rsidRPr="002A3B6A">
        <w:rPr>
          <w:rFonts w:ascii="Arial" w:hAnsi="Arial" w:cs="Arial"/>
          <w:sz w:val="24"/>
          <w:szCs w:val="24"/>
        </w:rPr>
        <w:t>.</w:t>
      </w:r>
    </w:p>
    <w:p w:rsidR="002D7B3C" w:rsidRPr="002A3B6A" w:rsidRDefault="002D7B3C" w:rsidP="000544B3">
      <w:pPr>
        <w:pStyle w:val="Prrafodelista"/>
        <w:autoSpaceDE w:val="0"/>
        <w:autoSpaceDN w:val="0"/>
        <w:ind w:left="108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0544B3">
      <w:pPr>
        <w:pStyle w:val="Prrafodelista"/>
        <w:autoSpaceDE w:val="0"/>
        <w:autoSpaceDN w:val="0"/>
        <w:ind w:left="108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b/>
          <w:sz w:val="24"/>
          <w:szCs w:val="24"/>
        </w:rPr>
        <w:t>Segundo Reporte o Documento 2.</w:t>
      </w:r>
      <w:r w:rsidRPr="002A3B6A">
        <w:rPr>
          <w:rFonts w:ascii="Arial" w:hAnsi="Arial" w:cs="Arial"/>
          <w:sz w:val="24"/>
          <w:szCs w:val="24"/>
        </w:rPr>
        <w:t xml:space="preserve"> La fecha de corte para el reporte de información será al </w:t>
      </w:r>
      <w:r w:rsidRPr="002A3B6A">
        <w:rPr>
          <w:rFonts w:ascii="Arial" w:hAnsi="Arial" w:cs="Arial"/>
          <w:b/>
          <w:sz w:val="24"/>
          <w:szCs w:val="24"/>
        </w:rPr>
        <w:t>31 de diciembre de 2016</w:t>
      </w:r>
      <w:r w:rsidR="005A10CE" w:rsidRPr="002A3B6A">
        <w:rPr>
          <w:rFonts w:ascii="Arial" w:hAnsi="Arial" w:cs="Arial"/>
          <w:sz w:val="24"/>
          <w:szCs w:val="24"/>
        </w:rPr>
        <w:t>. S</w:t>
      </w:r>
      <w:r w:rsidRPr="002A3B6A">
        <w:rPr>
          <w:rFonts w:ascii="Arial" w:hAnsi="Arial" w:cs="Arial"/>
          <w:sz w:val="24"/>
          <w:szCs w:val="24"/>
        </w:rPr>
        <w:t xml:space="preserve">in embargo, para las variables transaccionales </w:t>
      </w:r>
      <w:r w:rsidR="005A10CE" w:rsidRPr="002A3B6A">
        <w:rPr>
          <w:rFonts w:ascii="Arial" w:hAnsi="Arial" w:cs="Arial"/>
          <w:sz w:val="24"/>
          <w:szCs w:val="24"/>
        </w:rPr>
        <w:t xml:space="preserve">(Comisiones, transacciones por transferencias, etc.), </w:t>
      </w:r>
      <w:r w:rsidRPr="002A3B6A">
        <w:rPr>
          <w:rFonts w:ascii="Arial" w:hAnsi="Arial" w:cs="Arial"/>
          <w:sz w:val="24"/>
          <w:szCs w:val="24"/>
        </w:rPr>
        <w:t xml:space="preserve">se debe considerar el </w:t>
      </w:r>
      <w:r w:rsidRPr="002A3B6A">
        <w:rPr>
          <w:rFonts w:ascii="Arial" w:hAnsi="Arial" w:cs="Arial"/>
          <w:b/>
          <w:sz w:val="24"/>
          <w:szCs w:val="24"/>
        </w:rPr>
        <w:t>periodo comprendido entre 1 de julio 2016 a 31 de diciembre 2016</w:t>
      </w:r>
      <w:r w:rsidRPr="002A3B6A">
        <w:rPr>
          <w:rFonts w:ascii="Arial" w:hAnsi="Arial" w:cs="Arial"/>
          <w:sz w:val="24"/>
          <w:szCs w:val="24"/>
        </w:rPr>
        <w:t>.</w:t>
      </w:r>
    </w:p>
    <w:p w:rsidR="0063595E" w:rsidRPr="002A3B6A" w:rsidRDefault="0063595E" w:rsidP="000544B3">
      <w:pPr>
        <w:pStyle w:val="Prrafodelista"/>
        <w:autoSpaceDE w:val="0"/>
        <w:autoSpaceDN w:val="0"/>
        <w:ind w:left="1080"/>
        <w:jc w:val="both"/>
        <w:rPr>
          <w:rFonts w:ascii="Arial" w:hAnsi="Arial" w:cs="Arial"/>
          <w:sz w:val="24"/>
          <w:szCs w:val="24"/>
        </w:rPr>
      </w:pPr>
    </w:p>
    <w:p w:rsidR="0063595E" w:rsidRPr="002A3B6A" w:rsidRDefault="0063595E" w:rsidP="0063595E">
      <w:pPr>
        <w:pStyle w:val="Prrafodelista"/>
        <w:autoSpaceDE w:val="0"/>
        <w:autoSpaceDN w:val="0"/>
        <w:ind w:left="108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b/>
          <w:sz w:val="24"/>
          <w:szCs w:val="24"/>
        </w:rPr>
        <w:t>Posteriormente, se regirá con base en las fechas de reporte requerido</w:t>
      </w:r>
      <w:r w:rsidRPr="002A3B6A">
        <w:rPr>
          <w:rFonts w:ascii="Arial" w:hAnsi="Arial" w:cs="Arial"/>
          <w:sz w:val="24"/>
          <w:szCs w:val="24"/>
        </w:rPr>
        <w:t>:</w:t>
      </w:r>
    </w:p>
    <w:p w:rsidR="0063595E" w:rsidRPr="002A3B6A" w:rsidRDefault="0063595E" w:rsidP="000544B3">
      <w:pPr>
        <w:pStyle w:val="Prrafodelista"/>
        <w:autoSpaceDE w:val="0"/>
        <w:autoSpaceDN w:val="0"/>
        <w:ind w:left="1080"/>
        <w:jc w:val="both"/>
        <w:rPr>
          <w:rFonts w:ascii="Arial" w:hAnsi="Arial" w:cs="Arial"/>
          <w:sz w:val="24"/>
          <w:szCs w:val="24"/>
        </w:rPr>
      </w:pPr>
    </w:p>
    <w:p w:rsidR="0063595E" w:rsidRPr="002A3B6A" w:rsidRDefault="0063595E" w:rsidP="005A10CE">
      <w:pPr>
        <w:autoSpaceDE w:val="0"/>
        <w:autoSpaceDN w:val="0"/>
        <w:ind w:left="1080"/>
        <w:jc w:val="both"/>
        <w:rPr>
          <w:rFonts w:ascii="Arial" w:hAnsi="Arial" w:cs="Arial"/>
          <w:i/>
          <w:sz w:val="24"/>
          <w:szCs w:val="24"/>
        </w:rPr>
      </w:pPr>
      <w:r w:rsidRPr="002A3B6A">
        <w:rPr>
          <w:rFonts w:ascii="Arial" w:hAnsi="Arial" w:cs="Arial"/>
          <w:i/>
          <w:sz w:val="24"/>
          <w:szCs w:val="24"/>
        </w:rPr>
        <w:t xml:space="preserve">“Esta solicitud de información tendrá carácter semestral. Las fechas de corte serán al 30 de junio y al 31 de diciembre de cada año. La información deberá ser remitida a la Superintendencia </w:t>
      </w:r>
      <w:r w:rsidR="008A2160">
        <w:rPr>
          <w:rFonts w:ascii="Arial" w:hAnsi="Arial" w:cs="Arial"/>
          <w:i/>
          <w:sz w:val="24"/>
          <w:szCs w:val="24"/>
        </w:rPr>
        <w:t>de Bancos</w:t>
      </w:r>
      <w:r w:rsidRPr="002A3B6A">
        <w:rPr>
          <w:rFonts w:ascii="Arial" w:hAnsi="Arial" w:cs="Arial"/>
          <w:i/>
          <w:sz w:val="24"/>
          <w:szCs w:val="24"/>
        </w:rPr>
        <w:t xml:space="preserve"> de Panamá a más tardar el día 31 del mes siguiente a la fecha de corte de cada periodo.”</w:t>
      </w:r>
    </w:p>
    <w:p w:rsidR="0063595E" w:rsidRPr="002A3B6A" w:rsidRDefault="0063595E" w:rsidP="000544B3">
      <w:pPr>
        <w:pStyle w:val="Prrafodelista"/>
        <w:autoSpaceDE w:val="0"/>
        <w:autoSpaceDN w:val="0"/>
        <w:ind w:left="1080"/>
        <w:jc w:val="both"/>
        <w:rPr>
          <w:rFonts w:ascii="Arial" w:hAnsi="Arial" w:cs="Arial"/>
          <w:sz w:val="24"/>
          <w:szCs w:val="24"/>
        </w:rPr>
      </w:pPr>
    </w:p>
    <w:p w:rsidR="00687D3A" w:rsidRDefault="00687D3A" w:rsidP="00687D3A">
      <w:pPr>
        <w:pStyle w:val="Prrafodelista"/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la entidad: corresponde al nombre de la entidad tal como consta en la licencia otorgada por esta autoridad.</w:t>
      </w:r>
    </w:p>
    <w:p w:rsidR="00687D3A" w:rsidRDefault="00687D3A" w:rsidP="00687D3A">
      <w:pPr>
        <w:pStyle w:val="Prrafodelista"/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Preparado por: corresponde al </w:t>
      </w:r>
      <w:r w:rsidRPr="002A3B6A">
        <w:rPr>
          <w:rFonts w:ascii="Arial" w:hAnsi="Arial" w:cs="Arial"/>
          <w:sz w:val="24"/>
          <w:szCs w:val="24"/>
        </w:rPr>
        <w:t>nombre y cargo de quien completa el documento</w:t>
      </w:r>
      <w:r>
        <w:rPr>
          <w:rFonts w:ascii="Arial" w:hAnsi="Arial" w:cs="Arial"/>
          <w:sz w:val="24"/>
          <w:szCs w:val="24"/>
        </w:rPr>
        <w:t>.</w:t>
      </w:r>
    </w:p>
    <w:p w:rsidR="00687D3A" w:rsidRPr="002A3B6A" w:rsidRDefault="00687D3A" w:rsidP="00687D3A">
      <w:pPr>
        <w:pStyle w:val="Prrafodelista"/>
        <w:numPr>
          <w:ilvl w:val="0"/>
          <w:numId w:val="8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Nombre del Oficial de Cumplimiento: corresponde al </w:t>
      </w:r>
      <w:r w:rsidRPr="002A3B6A">
        <w:rPr>
          <w:rFonts w:ascii="Arial" w:hAnsi="Arial" w:cs="Arial"/>
          <w:sz w:val="24"/>
          <w:szCs w:val="24"/>
        </w:rPr>
        <w:t xml:space="preserve">nombre del Oficial de Cumplimiento </w:t>
      </w:r>
      <w:r>
        <w:rPr>
          <w:rFonts w:ascii="Arial" w:hAnsi="Arial" w:cs="Arial"/>
          <w:sz w:val="24"/>
          <w:szCs w:val="24"/>
        </w:rPr>
        <w:t>de conformidad con la última notificación presentada a esta Superintendencia.</w:t>
      </w:r>
    </w:p>
    <w:p w:rsidR="002D7B3C" w:rsidRDefault="002D7B3C" w:rsidP="002D7B3C">
      <w:pPr>
        <w:pStyle w:val="Prrafodelista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687D3A" w:rsidRPr="002A3B6A" w:rsidRDefault="00687D3A" w:rsidP="002D7B3C">
      <w:pPr>
        <w:pStyle w:val="Prrafodelista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D7B3C" w:rsidRDefault="002D7B3C" w:rsidP="005711E7">
      <w:pPr>
        <w:pStyle w:val="Prrafodelista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 w:rsidRPr="002A3B6A">
        <w:rPr>
          <w:rFonts w:ascii="Arial" w:hAnsi="Arial" w:cs="Arial"/>
          <w:b/>
          <w:sz w:val="24"/>
          <w:szCs w:val="24"/>
        </w:rPr>
        <w:t xml:space="preserve"> INFOR</w:t>
      </w:r>
      <w:r w:rsidR="00064FFC">
        <w:rPr>
          <w:rFonts w:ascii="Arial" w:hAnsi="Arial" w:cs="Arial"/>
          <w:b/>
          <w:sz w:val="24"/>
          <w:szCs w:val="24"/>
        </w:rPr>
        <w:t>MACIÓN ESTRUCTURAL Y FINANCIERA DEL SUJETO OBLIGADO</w:t>
      </w:r>
    </w:p>
    <w:p w:rsidR="00064FFC" w:rsidRDefault="00064FFC" w:rsidP="00064FFC">
      <w:pPr>
        <w:pStyle w:val="Prrafodelista"/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</w:p>
    <w:p w:rsidR="00064FFC" w:rsidRPr="00677B77" w:rsidRDefault="00064FFC" w:rsidP="005711E7">
      <w:pPr>
        <w:pStyle w:val="Prrafodelista"/>
        <w:numPr>
          <w:ilvl w:val="0"/>
          <w:numId w:val="12"/>
        </w:numPr>
        <w:autoSpaceDE w:val="0"/>
        <w:autoSpaceDN w:val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77B77">
        <w:rPr>
          <w:rFonts w:ascii="Arial" w:hAnsi="Arial" w:cs="Arial"/>
          <w:b/>
          <w:sz w:val="24"/>
          <w:szCs w:val="24"/>
        </w:rPr>
        <w:t>Información general del sujeto obligado</w:t>
      </w:r>
    </w:p>
    <w:p w:rsidR="00064FFC" w:rsidRPr="002A3B6A" w:rsidRDefault="00064FFC" w:rsidP="00064FFC">
      <w:pPr>
        <w:pStyle w:val="Prrafodelista"/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</w:p>
    <w:p w:rsidR="002D7B3C" w:rsidRPr="00687D3A" w:rsidRDefault="002D7B3C" w:rsidP="00904F6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87D3A">
        <w:rPr>
          <w:rFonts w:ascii="Arial" w:hAnsi="Arial" w:cs="Arial"/>
          <w:sz w:val="24"/>
          <w:szCs w:val="24"/>
        </w:rPr>
        <w:t xml:space="preserve">Teléfono(s) de contacto del Oficial de Cumplimiento: Número telefónico </w:t>
      </w:r>
      <w:r w:rsidR="005A10CE" w:rsidRPr="00687D3A">
        <w:rPr>
          <w:rFonts w:ascii="Arial" w:hAnsi="Arial" w:cs="Arial"/>
          <w:sz w:val="24"/>
          <w:szCs w:val="24"/>
        </w:rPr>
        <w:t xml:space="preserve">institucional </w:t>
      </w:r>
      <w:r w:rsidRPr="00687D3A">
        <w:rPr>
          <w:rFonts w:ascii="Arial" w:hAnsi="Arial" w:cs="Arial"/>
          <w:sz w:val="24"/>
          <w:szCs w:val="24"/>
        </w:rPr>
        <w:t>que permite contactar directamente al Oficial de Cumplimiento.</w:t>
      </w:r>
    </w:p>
    <w:p w:rsidR="002D7B3C" w:rsidRDefault="002D7B3C" w:rsidP="002D7B3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D7B3C" w:rsidRPr="00064FFC" w:rsidRDefault="002D7B3C" w:rsidP="005711E7">
      <w:pPr>
        <w:pStyle w:val="Prrafodelista"/>
        <w:numPr>
          <w:ilvl w:val="0"/>
          <w:numId w:val="12"/>
        </w:numPr>
        <w:autoSpaceDE w:val="0"/>
        <w:autoSpaceDN w:val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64FFC">
        <w:rPr>
          <w:rFonts w:ascii="Arial" w:hAnsi="Arial" w:cs="Arial"/>
          <w:b/>
          <w:sz w:val="24"/>
          <w:szCs w:val="24"/>
        </w:rPr>
        <w:t xml:space="preserve">Información estructural y datos financieros  </w:t>
      </w:r>
    </w:p>
    <w:p w:rsidR="002D7B3C" w:rsidRPr="002A3B6A" w:rsidRDefault="002D7B3C" w:rsidP="002D7B3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pStyle w:val="Prrafodelista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Si la entidad es matriz panameña de un grupo: si el Banco es matriz panameñ</w:t>
      </w:r>
      <w:r w:rsidR="005A10CE" w:rsidRPr="002A3B6A">
        <w:rPr>
          <w:rFonts w:ascii="Arial" w:hAnsi="Arial" w:cs="Arial"/>
          <w:sz w:val="24"/>
          <w:szCs w:val="24"/>
        </w:rPr>
        <w:t>a</w:t>
      </w:r>
      <w:r w:rsidRPr="002A3B6A">
        <w:rPr>
          <w:rFonts w:ascii="Arial" w:hAnsi="Arial" w:cs="Arial"/>
          <w:sz w:val="24"/>
          <w:szCs w:val="24"/>
        </w:rPr>
        <w:t xml:space="preserve"> de un grupo financiero/económico, sírvase especificar el nombre del grupo financiero/económico, en caso de no aplicar indique N</w:t>
      </w:r>
      <w:r w:rsidR="00A823AF" w:rsidRPr="002A3B6A">
        <w:rPr>
          <w:rFonts w:ascii="Arial" w:hAnsi="Arial" w:cs="Arial"/>
          <w:sz w:val="24"/>
          <w:szCs w:val="24"/>
        </w:rPr>
        <w:t xml:space="preserve"> </w:t>
      </w:r>
      <w:r w:rsidRPr="002A3B6A">
        <w:rPr>
          <w:rFonts w:ascii="Arial" w:hAnsi="Arial" w:cs="Arial"/>
          <w:sz w:val="24"/>
          <w:szCs w:val="24"/>
        </w:rPr>
        <w:t>/</w:t>
      </w:r>
      <w:r w:rsidR="00A823AF" w:rsidRPr="002A3B6A">
        <w:rPr>
          <w:rFonts w:ascii="Arial" w:hAnsi="Arial" w:cs="Arial"/>
          <w:sz w:val="24"/>
          <w:szCs w:val="24"/>
        </w:rPr>
        <w:t xml:space="preserve"> </w:t>
      </w:r>
      <w:r w:rsidRPr="002A3B6A">
        <w:rPr>
          <w:rFonts w:ascii="Arial" w:hAnsi="Arial" w:cs="Arial"/>
          <w:sz w:val="24"/>
          <w:szCs w:val="24"/>
        </w:rPr>
        <w:t>A.</w:t>
      </w:r>
    </w:p>
    <w:p w:rsidR="002D7B3C" w:rsidRPr="002A3B6A" w:rsidRDefault="002D7B3C" w:rsidP="002D7B3C">
      <w:pPr>
        <w:pStyle w:val="Prrafodelista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1.1. Filiales reguladas </w:t>
      </w:r>
    </w:p>
    <w:p w:rsidR="002D7B3C" w:rsidRPr="002A3B6A" w:rsidRDefault="002D7B3C" w:rsidP="002D7B3C">
      <w:pPr>
        <w:autoSpaceDE w:val="0"/>
        <w:autoSpaceDN w:val="0"/>
        <w:ind w:left="1416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1.1.1. Cuántas: En caso de que el Banco sea matriz, especifique el número de filiales o subsidiarias reguladas.</w:t>
      </w:r>
    </w:p>
    <w:p w:rsidR="002D7B3C" w:rsidRPr="002A3B6A" w:rsidRDefault="002D7B3C" w:rsidP="002D7B3C">
      <w:pPr>
        <w:autoSpaceDE w:val="0"/>
        <w:autoSpaceDN w:val="0"/>
        <w:ind w:left="1416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1.1.2. Tipo de entidad(es): En caso de que el Banco sea matriz, detalle los sectores en los que se encuentran las filiales o subsidiarias reguladas.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1.2. Filiales en el exterior</w:t>
      </w:r>
    </w:p>
    <w:p w:rsidR="002D7B3C" w:rsidRPr="002A3B6A" w:rsidRDefault="002D7B3C" w:rsidP="002D7B3C">
      <w:pPr>
        <w:autoSpaceDE w:val="0"/>
        <w:autoSpaceDN w:val="0"/>
        <w:ind w:left="1416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1.2.1. Cuántas: En caso de que el Banco sea matriz y tenga filiales o subsidiarias en el extranjero, especifique el número de filiales extra</w:t>
      </w:r>
      <w:r w:rsidR="005A10CE" w:rsidRPr="002A3B6A">
        <w:rPr>
          <w:rFonts w:ascii="Arial" w:hAnsi="Arial" w:cs="Arial"/>
          <w:sz w:val="24"/>
          <w:szCs w:val="24"/>
        </w:rPr>
        <w:t>n</w:t>
      </w:r>
      <w:r w:rsidRPr="002A3B6A">
        <w:rPr>
          <w:rFonts w:ascii="Arial" w:hAnsi="Arial" w:cs="Arial"/>
          <w:sz w:val="24"/>
          <w:szCs w:val="24"/>
        </w:rPr>
        <w:t>jeras reguladas.</w:t>
      </w:r>
    </w:p>
    <w:p w:rsidR="002D7B3C" w:rsidRPr="002A3B6A" w:rsidRDefault="002D7B3C" w:rsidP="002D7B3C">
      <w:pPr>
        <w:autoSpaceDE w:val="0"/>
        <w:autoSpaceDN w:val="0"/>
        <w:ind w:left="1416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1.2.2. Tipo de entidad(es): En caso de que el Banco sea matriz, detalle los sectores en los que se encuentran las filiales o subsidiarias extranjeras reguladas.</w:t>
      </w:r>
    </w:p>
    <w:p w:rsidR="002D7B3C" w:rsidRPr="002A3B6A" w:rsidRDefault="002D7B3C" w:rsidP="002D7B3C">
      <w:pPr>
        <w:autoSpaceDE w:val="0"/>
        <w:autoSpaceDN w:val="0"/>
        <w:ind w:left="1416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1.2.3. Relación de países: En caso de que el Banco sea matriz y tenga filiales o subsidiarias en el extranjero, </w:t>
      </w:r>
      <w:r w:rsidR="005A10CE" w:rsidRPr="002A3B6A">
        <w:rPr>
          <w:rFonts w:ascii="Arial" w:hAnsi="Arial" w:cs="Arial"/>
          <w:sz w:val="24"/>
          <w:szCs w:val="24"/>
        </w:rPr>
        <w:t>detalle</w:t>
      </w:r>
      <w:r w:rsidRPr="002A3B6A">
        <w:rPr>
          <w:rFonts w:ascii="Arial" w:hAnsi="Arial" w:cs="Arial"/>
          <w:sz w:val="24"/>
          <w:szCs w:val="24"/>
        </w:rPr>
        <w:t xml:space="preserve"> los países en que se encuentran las filiales.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1.3. Filiales no reguladas:</w:t>
      </w:r>
    </w:p>
    <w:p w:rsidR="002D7B3C" w:rsidRPr="002A3B6A" w:rsidRDefault="002D7B3C" w:rsidP="002D7B3C">
      <w:pPr>
        <w:autoSpaceDE w:val="0"/>
        <w:autoSpaceDN w:val="0"/>
        <w:ind w:left="1416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</w:t>
      </w:r>
      <w:r w:rsidR="005A10CE" w:rsidRPr="002A3B6A">
        <w:rPr>
          <w:rFonts w:ascii="Arial" w:hAnsi="Arial" w:cs="Arial"/>
          <w:sz w:val="24"/>
          <w:szCs w:val="24"/>
        </w:rPr>
        <w:t>3</w:t>
      </w:r>
      <w:r w:rsidRPr="002A3B6A">
        <w:rPr>
          <w:rFonts w:ascii="Arial" w:hAnsi="Arial" w:cs="Arial"/>
          <w:sz w:val="24"/>
          <w:szCs w:val="24"/>
        </w:rPr>
        <w:t>.1. Cuántas: En caso de que el Banco sea matriz y tenga filiales o subsidiarias no reguladas en el país o e</w:t>
      </w:r>
      <w:r w:rsidR="005A10CE" w:rsidRPr="002A3B6A">
        <w:rPr>
          <w:rFonts w:ascii="Arial" w:hAnsi="Arial" w:cs="Arial"/>
          <w:sz w:val="24"/>
          <w:szCs w:val="24"/>
        </w:rPr>
        <w:t xml:space="preserve">n el extranjero, especifique la </w:t>
      </w:r>
      <w:r w:rsidRPr="002A3B6A">
        <w:rPr>
          <w:rFonts w:ascii="Arial" w:hAnsi="Arial" w:cs="Arial"/>
          <w:sz w:val="24"/>
          <w:szCs w:val="24"/>
        </w:rPr>
        <w:t xml:space="preserve">cantidad. </w:t>
      </w:r>
    </w:p>
    <w:p w:rsidR="002D7B3C" w:rsidRPr="002A3B6A" w:rsidRDefault="002D7B3C" w:rsidP="002D7B3C">
      <w:pPr>
        <w:autoSpaceDE w:val="0"/>
        <w:autoSpaceDN w:val="0"/>
        <w:ind w:left="1416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</w:t>
      </w:r>
      <w:r w:rsidR="005A10CE" w:rsidRPr="002A3B6A">
        <w:rPr>
          <w:rFonts w:ascii="Arial" w:hAnsi="Arial" w:cs="Arial"/>
          <w:sz w:val="24"/>
          <w:szCs w:val="24"/>
        </w:rPr>
        <w:t>3</w:t>
      </w:r>
      <w:r w:rsidRPr="002A3B6A">
        <w:rPr>
          <w:rFonts w:ascii="Arial" w:hAnsi="Arial" w:cs="Arial"/>
          <w:sz w:val="24"/>
          <w:szCs w:val="24"/>
        </w:rPr>
        <w:t>.2. Tipo de entidad(es): En caso de que el Banco sea matriz y tenga filiales o subsidiarias no reguladas en el país o en el extranjero, detalle los sectores en los que se encuentran las filiales no reguladas.</w:t>
      </w:r>
    </w:p>
    <w:p w:rsidR="005A10CE" w:rsidRPr="002A3B6A" w:rsidRDefault="002D7B3C" w:rsidP="005A10CE">
      <w:pPr>
        <w:pStyle w:val="Prrafodelista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Si la entidad es parte (no matriz) de un grupo financiero: Especifique el nombre de la matriz a que pertenece. De no aplicar, indique N</w:t>
      </w:r>
      <w:r w:rsidR="00A823AF" w:rsidRPr="002A3B6A">
        <w:rPr>
          <w:rFonts w:ascii="Arial" w:hAnsi="Arial" w:cs="Arial"/>
          <w:sz w:val="24"/>
          <w:szCs w:val="24"/>
        </w:rPr>
        <w:t xml:space="preserve"> </w:t>
      </w:r>
      <w:r w:rsidRPr="002A3B6A">
        <w:rPr>
          <w:rFonts w:ascii="Arial" w:hAnsi="Arial" w:cs="Arial"/>
          <w:sz w:val="24"/>
          <w:szCs w:val="24"/>
        </w:rPr>
        <w:t>/</w:t>
      </w:r>
      <w:r w:rsidR="00A823AF" w:rsidRPr="002A3B6A">
        <w:rPr>
          <w:rFonts w:ascii="Arial" w:hAnsi="Arial" w:cs="Arial"/>
          <w:sz w:val="24"/>
          <w:szCs w:val="24"/>
        </w:rPr>
        <w:t xml:space="preserve"> </w:t>
      </w:r>
      <w:r w:rsidRPr="002A3B6A">
        <w:rPr>
          <w:rFonts w:ascii="Arial" w:hAnsi="Arial" w:cs="Arial"/>
          <w:sz w:val="24"/>
          <w:szCs w:val="24"/>
        </w:rPr>
        <w:t>A.</w:t>
      </w:r>
    </w:p>
    <w:p w:rsidR="002D7B3C" w:rsidRPr="002A3B6A" w:rsidRDefault="00A823AF" w:rsidP="002D7B3C">
      <w:pPr>
        <w:pStyle w:val="Prrafodelista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lastRenderedPageBreak/>
        <w:t>Total de colaboradores: Indique</w:t>
      </w:r>
      <w:r w:rsidR="002D7B3C" w:rsidRPr="002A3B6A">
        <w:rPr>
          <w:rFonts w:ascii="Arial" w:hAnsi="Arial" w:cs="Arial"/>
          <w:sz w:val="24"/>
          <w:szCs w:val="24"/>
        </w:rPr>
        <w:t xml:space="preserve"> la totalidad de los </w:t>
      </w:r>
      <w:r w:rsidRPr="002A3B6A">
        <w:rPr>
          <w:rFonts w:ascii="Arial" w:hAnsi="Arial" w:cs="Arial"/>
          <w:sz w:val="24"/>
          <w:szCs w:val="24"/>
        </w:rPr>
        <w:t>colaboradores</w:t>
      </w:r>
      <w:r w:rsidR="002D7B3C" w:rsidRPr="002A3B6A">
        <w:rPr>
          <w:rFonts w:ascii="Arial" w:hAnsi="Arial" w:cs="Arial"/>
          <w:sz w:val="24"/>
          <w:szCs w:val="24"/>
        </w:rPr>
        <w:t xml:space="preserve"> en carácter de dependencia con el Banco, independientemente al tipo de vinculación (nombrados, contratados, etc.). </w:t>
      </w:r>
    </w:p>
    <w:p w:rsidR="002D7B3C" w:rsidRPr="002A3B6A" w:rsidRDefault="002D7B3C" w:rsidP="002D7B3C">
      <w:pPr>
        <w:pStyle w:val="Prrafodelista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Nombre del Oficial de Cumplimiento Suplente: En caso de ausencia temporal del Oficial de Cumplimiento Principal, nombre de la persona que asumiría el rol y responsabilidades del oficial de cumplimiento.</w:t>
      </w:r>
    </w:p>
    <w:p w:rsidR="002D7B3C" w:rsidRPr="002A3B6A" w:rsidRDefault="002D7B3C" w:rsidP="002D7B3C">
      <w:pPr>
        <w:pStyle w:val="Prrafodelista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Total de estructura de cumplimiento: Número de personas que trabajan en la unidad/área de prevención de BC/FT/FPADM.</w:t>
      </w:r>
    </w:p>
    <w:p w:rsidR="002D7B3C" w:rsidRPr="002A3B6A" w:rsidRDefault="002D7B3C" w:rsidP="002D7B3C">
      <w:pPr>
        <w:pStyle w:val="Prrafodelista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Nombre de la Herramienta de Monitoreo: Nombre la herramienta con que cuenta el Banco para fines de prevención del riesgo BC/FT/FPADM.</w:t>
      </w:r>
    </w:p>
    <w:p w:rsidR="002D7B3C" w:rsidRPr="002A3B6A" w:rsidRDefault="002D7B3C" w:rsidP="002D7B3C">
      <w:pPr>
        <w:pStyle w:val="Prrafodelista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Versión de la Herramienta de Monitoreo: Si la herramienta anteriormente descrita tiene diferentes versiones, detalle la versión que actualmente aplica el Banco. </w:t>
      </w:r>
    </w:p>
    <w:p w:rsidR="002D7B3C" w:rsidRPr="002A3B6A" w:rsidRDefault="002D7B3C" w:rsidP="002D7B3C">
      <w:pPr>
        <w:pStyle w:val="Prrafodelista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Fecha de implementación de la Herramienta de Monitoreo: (dd/mm/aaaa) fecha desde que el Banco empezó a utilizar la herramienta de monitoreo  </w:t>
      </w:r>
    </w:p>
    <w:p w:rsidR="002D7B3C" w:rsidRPr="002A3B6A" w:rsidRDefault="002D7B3C" w:rsidP="002D7B3C">
      <w:pPr>
        <w:pStyle w:val="Prrafodelista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Fecha de última actualización de la Herramienta de Monitoreo: (dd/mm/aaaa) fecha de la última actualización de la herramienta de monitoreo.</w:t>
      </w:r>
    </w:p>
    <w:p w:rsidR="002D7B3C" w:rsidRPr="002A3B6A" w:rsidRDefault="002D7B3C" w:rsidP="002D7B3C">
      <w:pPr>
        <w:pStyle w:val="Prrafodelista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Proveedor de la Herramienta de Monitoreo: De aplicar, nombre del proveedor de la Herramienta de Monitoreo.</w:t>
      </w:r>
    </w:p>
    <w:p w:rsidR="002D7B3C" w:rsidRPr="002A3B6A" w:rsidRDefault="002D7B3C" w:rsidP="002D7B3C">
      <w:pPr>
        <w:pStyle w:val="Prrafodelista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Total de alertas generadas dentro del periodo de reporte: </w:t>
      </w:r>
      <w:r w:rsidR="00657E06">
        <w:rPr>
          <w:rFonts w:ascii="Arial" w:hAnsi="Arial" w:cs="Arial"/>
          <w:sz w:val="24"/>
          <w:szCs w:val="24"/>
        </w:rPr>
        <w:t>Corresponde a la c</w:t>
      </w:r>
      <w:r w:rsidRPr="002A3B6A">
        <w:rPr>
          <w:rFonts w:ascii="Arial" w:hAnsi="Arial" w:cs="Arial"/>
          <w:sz w:val="24"/>
          <w:szCs w:val="24"/>
        </w:rPr>
        <w:t>antidad de alertas</w:t>
      </w:r>
      <w:r w:rsidR="00CE50A6" w:rsidRPr="002A3B6A">
        <w:rPr>
          <w:rFonts w:ascii="Arial" w:hAnsi="Arial" w:cs="Arial"/>
          <w:sz w:val="24"/>
          <w:szCs w:val="24"/>
        </w:rPr>
        <w:t xml:space="preserve"> generadas</w:t>
      </w:r>
      <w:r w:rsidRPr="002A3B6A">
        <w:rPr>
          <w:rFonts w:ascii="Arial" w:hAnsi="Arial" w:cs="Arial"/>
          <w:sz w:val="24"/>
          <w:szCs w:val="24"/>
        </w:rPr>
        <w:t xml:space="preserve"> dentro del periodo de reporte.</w:t>
      </w:r>
    </w:p>
    <w:p w:rsidR="002D7B3C" w:rsidRPr="002A3B6A" w:rsidRDefault="002D7B3C" w:rsidP="002D7B3C">
      <w:pPr>
        <w:pStyle w:val="Prrafodelista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Total número de reportes de operaciones sospechosas en el periodo: C</w:t>
      </w:r>
      <w:r w:rsidR="00CE50A6" w:rsidRPr="002A3B6A">
        <w:rPr>
          <w:rFonts w:ascii="Arial" w:hAnsi="Arial" w:cs="Arial"/>
          <w:sz w:val="24"/>
          <w:szCs w:val="24"/>
        </w:rPr>
        <w:t>antidad de reporte</w:t>
      </w:r>
      <w:r w:rsidR="002B7A56">
        <w:rPr>
          <w:rFonts w:ascii="Arial" w:hAnsi="Arial" w:cs="Arial"/>
          <w:sz w:val="24"/>
          <w:szCs w:val="24"/>
        </w:rPr>
        <w:t>(</w:t>
      </w:r>
      <w:r w:rsidR="00CE50A6" w:rsidRPr="002A3B6A">
        <w:rPr>
          <w:rFonts w:ascii="Arial" w:hAnsi="Arial" w:cs="Arial"/>
          <w:sz w:val="24"/>
          <w:szCs w:val="24"/>
        </w:rPr>
        <w:t>s</w:t>
      </w:r>
      <w:r w:rsidR="002B7A56">
        <w:rPr>
          <w:rFonts w:ascii="Arial" w:hAnsi="Arial" w:cs="Arial"/>
          <w:sz w:val="24"/>
          <w:szCs w:val="24"/>
        </w:rPr>
        <w:t>)  de operación</w:t>
      </w:r>
      <w:r w:rsidR="00CE50A6" w:rsidRPr="002A3B6A">
        <w:rPr>
          <w:rFonts w:ascii="Arial" w:hAnsi="Arial" w:cs="Arial"/>
          <w:sz w:val="24"/>
          <w:szCs w:val="24"/>
        </w:rPr>
        <w:t>(es)</w:t>
      </w:r>
      <w:r w:rsidRPr="002A3B6A">
        <w:rPr>
          <w:rFonts w:ascii="Arial" w:hAnsi="Arial" w:cs="Arial"/>
          <w:sz w:val="24"/>
          <w:szCs w:val="24"/>
        </w:rPr>
        <w:t xml:space="preserve"> sospechosa</w:t>
      </w:r>
      <w:r w:rsidR="00657E06">
        <w:rPr>
          <w:rFonts w:ascii="Arial" w:hAnsi="Arial" w:cs="Arial"/>
          <w:sz w:val="24"/>
          <w:szCs w:val="24"/>
        </w:rPr>
        <w:t>(</w:t>
      </w:r>
      <w:r w:rsidRPr="002A3B6A">
        <w:rPr>
          <w:rFonts w:ascii="Arial" w:hAnsi="Arial" w:cs="Arial"/>
          <w:sz w:val="24"/>
          <w:szCs w:val="24"/>
        </w:rPr>
        <w:t>s</w:t>
      </w:r>
      <w:r w:rsidR="00657E06">
        <w:rPr>
          <w:rFonts w:ascii="Arial" w:hAnsi="Arial" w:cs="Arial"/>
          <w:sz w:val="24"/>
          <w:szCs w:val="24"/>
        </w:rPr>
        <w:t>)</w:t>
      </w:r>
      <w:r w:rsidRPr="002A3B6A">
        <w:rPr>
          <w:rFonts w:ascii="Arial" w:hAnsi="Arial" w:cs="Arial"/>
          <w:sz w:val="24"/>
          <w:szCs w:val="24"/>
        </w:rPr>
        <w:t xml:space="preserve"> </w:t>
      </w:r>
      <w:r w:rsidR="002B7A56">
        <w:rPr>
          <w:rFonts w:ascii="Arial" w:hAnsi="Arial" w:cs="Arial"/>
          <w:sz w:val="24"/>
          <w:szCs w:val="24"/>
        </w:rPr>
        <w:t xml:space="preserve">(ROS) </w:t>
      </w:r>
      <w:r w:rsidR="00CE50A6" w:rsidRPr="002A3B6A">
        <w:rPr>
          <w:rFonts w:ascii="Arial" w:hAnsi="Arial" w:cs="Arial"/>
          <w:sz w:val="24"/>
          <w:szCs w:val="24"/>
        </w:rPr>
        <w:t xml:space="preserve">enviados a la UAF </w:t>
      </w:r>
      <w:r w:rsidRPr="002A3B6A">
        <w:rPr>
          <w:rFonts w:ascii="Arial" w:hAnsi="Arial" w:cs="Arial"/>
          <w:sz w:val="24"/>
          <w:szCs w:val="24"/>
        </w:rPr>
        <w:t xml:space="preserve">dentro del periodo de reporte. </w:t>
      </w:r>
    </w:p>
    <w:p w:rsidR="002D7B3C" w:rsidRPr="002A3B6A" w:rsidRDefault="002D7B3C" w:rsidP="002D7B3C">
      <w:pPr>
        <w:pStyle w:val="Prrafodelista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Reportes de </w:t>
      </w:r>
      <w:r w:rsidR="002B7A56">
        <w:rPr>
          <w:rFonts w:ascii="Arial" w:hAnsi="Arial" w:cs="Arial"/>
          <w:sz w:val="24"/>
          <w:szCs w:val="24"/>
        </w:rPr>
        <w:t>transacciones</w:t>
      </w:r>
      <w:r w:rsidRPr="002A3B6A">
        <w:rPr>
          <w:rFonts w:ascii="Arial" w:hAnsi="Arial" w:cs="Arial"/>
          <w:sz w:val="24"/>
          <w:szCs w:val="24"/>
        </w:rPr>
        <w:t xml:space="preserve"> en efectivo</w:t>
      </w:r>
      <w:r w:rsidR="002B7A56">
        <w:rPr>
          <w:rFonts w:ascii="Arial" w:hAnsi="Arial" w:cs="Arial"/>
          <w:sz w:val="24"/>
          <w:szCs w:val="24"/>
        </w:rPr>
        <w:t xml:space="preserve"> (RTE)</w:t>
      </w:r>
      <w:r w:rsidRPr="002A3B6A">
        <w:rPr>
          <w:rFonts w:ascii="Arial" w:hAnsi="Arial" w:cs="Arial"/>
          <w:sz w:val="24"/>
          <w:szCs w:val="24"/>
        </w:rPr>
        <w:t xml:space="preserve"> en el periodo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13.1. Cantidad: Cantidad de reportes de operación en efectivo dentro del periodo de reporte. </w:t>
      </w:r>
    </w:p>
    <w:p w:rsidR="002D7B3C" w:rsidRPr="002A3B6A" w:rsidRDefault="002D7B3C" w:rsidP="002A3B6A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13.2. Valor: Valor total de las operaciones en efectivo dentro el periodo de </w:t>
      </w:r>
      <w:r w:rsidR="002A3B6A">
        <w:rPr>
          <w:rFonts w:ascii="Arial" w:hAnsi="Arial" w:cs="Arial"/>
          <w:sz w:val="24"/>
          <w:szCs w:val="24"/>
        </w:rPr>
        <w:t>reporte.</w:t>
      </w:r>
    </w:p>
    <w:p w:rsidR="002D7B3C" w:rsidRDefault="002D7B3C" w:rsidP="002D7B3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5711E7" w:rsidRPr="005711E7" w:rsidRDefault="005711E7" w:rsidP="005711E7">
      <w:pPr>
        <w:pStyle w:val="Prrafodelista"/>
        <w:numPr>
          <w:ilvl w:val="0"/>
          <w:numId w:val="12"/>
        </w:numPr>
        <w:autoSpaceDE w:val="0"/>
        <w:autoSpaceDN w:val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5711E7">
        <w:rPr>
          <w:rFonts w:ascii="Arial" w:hAnsi="Arial" w:cs="Arial"/>
          <w:b/>
          <w:sz w:val="24"/>
          <w:szCs w:val="24"/>
        </w:rPr>
        <w:t>Información sobre los Factores de Riesgo de BC/FT/FPADM</w:t>
      </w:r>
    </w:p>
    <w:p w:rsidR="005711E7" w:rsidRPr="005711E7" w:rsidRDefault="005711E7" w:rsidP="005711E7">
      <w:pPr>
        <w:pStyle w:val="Prrafodelista"/>
        <w:autoSpaceDE w:val="0"/>
        <w:autoSpaceDN w:val="0"/>
        <w:ind w:left="1080"/>
        <w:jc w:val="both"/>
        <w:rPr>
          <w:rFonts w:ascii="Arial" w:hAnsi="Arial" w:cs="Arial"/>
          <w:sz w:val="24"/>
          <w:szCs w:val="24"/>
        </w:rPr>
      </w:pPr>
    </w:p>
    <w:p w:rsidR="002D7B3C" w:rsidRPr="005711E7" w:rsidRDefault="002D7B3C" w:rsidP="005711E7">
      <w:pPr>
        <w:pStyle w:val="Prrafodelista"/>
        <w:numPr>
          <w:ilvl w:val="0"/>
          <w:numId w:val="13"/>
        </w:num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 w:rsidRPr="005711E7">
        <w:rPr>
          <w:rFonts w:ascii="Arial" w:hAnsi="Arial" w:cs="Arial"/>
          <w:b/>
          <w:sz w:val="24"/>
          <w:szCs w:val="24"/>
        </w:rPr>
        <w:t>INFORMACIÓN DEL RIESGO CLIENTE:</w:t>
      </w:r>
    </w:p>
    <w:p w:rsidR="002D7B3C" w:rsidRPr="002A3B6A" w:rsidRDefault="002D7B3C" w:rsidP="002D7B3C">
      <w:pPr>
        <w:autoSpaceDE w:val="0"/>
        <w:autoSpaceDN w:val="0"/>
        <w:ind w:left="72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Para la información del tipo de clientes que se detalla a continuación se requiere tanto la cantidad de clientes como el volumen transaccional – </w:t>
      </w:r>
      <w:r w:rsidR="00077D49" w:rsidRPr="002A3B6A">
        <w:rPr>
          <w:rFonts w:ascii="Arial" w:hAnsi="Arial" w:cs="Arial"/>
          <w:sz w:val="24"/>
          <w:szCs w:val="24"/>
        </w:rPr>
        <w:t>Total de Depósitos recibidos durante el periodo.</w:t>
      </w:r>
    </w:p>
    <w:p w:rsidR="002D7B3C" w:rsidRPr="002A3B6A" w:rsidRDefault="002D7B3C" w:rsidP="002D7B3C">
      <w:pPr>
        <w:autoSpaceDE w:val="0"/>
        <w:autoSpaceDN w:val="0"/>
        <w:ind w:left="72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1. Clientes clasificados como Personas Naturales 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1.1. Total Nacionales: Corresponde a clientes con nacionalidad panameña. 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1.2. Total Extranjeros Corresponde a clientes con nacionalidad extranjera. 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2. Clasificados como Personas Jurídicas 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2.1. Total Nacionales: Corresponde a clientes clasificados como personas jurídicas </w:t>
      </w:r>
      <w:r w:rsidR="005711E7">
        <w:rPr>
          <w:rFonts w:ascii="Arial" w:hAnsi="Arial" w:cs="Arial"/>
          <w:sz w:val="24"/>
          <w:szCs w:val="24"/>
        </w:rPr>
        <w:t>constituidas en Panamá</w:t>
      </w:r>
      <w:r w:rsidRPr="002A3B6A">
        <w:rPr>
          <w:rFonts w:ascii="Arial" w:hAnsi="Arial" w:cs="Arial"/>
          <w:sz w:val="24"/>
          <w:szCs w:val="24"/>
        </w:rPr>
        <w:t xml:space="preserve">. 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lastRenderedPageBreak/>
        <w:t>2.2. Total Extranjeros: Corresponde a clientes clasificados como personas jurídicas constituidas en el extranjero.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2.3. Clientes con acciones al portador: Corresponde a los clientes que son personas jurídicas cuyas acciones se encuentran al portador, parcial o totalmente. Estos datos no incluyen a los clientes con el 100% de su paquete accionario de tipo nominativo.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2.4. Clientes clasificados como Fundaciones de interés privado: </w:t>
      </w:r>
      <w:r w:rsidR="004D37F4" w:rsidRPr="002A3B6A">
        <w:rPr>
          <w:rFonts w:ascii="Arial" w:hAnsi="Arial" w:cs="Arial"/>
          <w:sz w:val="24"/>
          <w:szCs w:val="24"/>
        </w:rPr>
        <w:t xml:space="preserve">corresponde a </w:t>
      </w:r>
      <w:r w:rsidR="0070212B" w:rsidRPr="002A3B6A">
        <w:rPr>
          <w:rFonts w:ascii="Arial" w:hAnsi="Arial" w:cs="Arial"/>
          <w:sz w:val="24"/>
          <w:szCs w:val="24"/>
        </w:rPr>
        <w:t>clientes identificados como fundaciones de interés privado</w:t>
      </w:r>
      <w:r w:rsidR="004D37F4" w:rsidRPr="002A3B6A">
        <w:rPr>
          <w:rFonts w:ascii="Arial" w:hAnsi="Arial" w:cs="Arial"/>
          <w:sz w:val="24"/>
          <w:szCs w:val="24"/>
        </w:rPr>
        <w:t>.</w:t>
      </w:r>
    </w:p>
    <w:p w:rsidR="004D37F4" w:rsidRPr="002A3B6A" w:rsidRDefault="004D37F4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2.5. Clientes clasificados como Fundaciones sin fines de lucro: corresponde a clientes identificados como Fundaciones sin fines de lucro.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2.</w:t>
      </w:r>
      <w:r w:rsidR="004D37F4" w:rsidRPr="002A3B6A">
        <w:rPr>
          <w:rFonts w:ascii="Arial" w:hAnsi="Arial" w:cs="Arial"/>
          <w:sz w:val="24"/>
          <w:szCs w:val="24"/>
        </w:rPr>
        <w:t>6</w:t>
      </w:r>
      <w:r w:rsidRPr="002A3B6A">
        <w:rPr>
          <w:rFonts w:ascii="Arial" w:hAnsi="Arial" w:cs="Arial"/>
          <w:sz w:val="24"/>
          <w:szCs w:val="24"/>
        </w:rPr>
        <w:t>. Clientes clasificados como Organizaciones Sin Ánimo de Lucro (OSL)</w:t>
      </w:r>
      <w:r w:rsidR="004D37F4" w:rsidRPr="002A3B6A">
        <w:rPr>
          <w:rFonts w:ascii="Arial" w:hAnsi="Arial" w:cs="Arial"/>
          <w:sz w:val="24"/>
          <w:szCs w:val="24"/>
        </w:rPr>
        <w:t>: corresponde a clientes identificados como Organizaciones Sin Ánimo de Lucro (OSL).</w:t>
      </w:r>
    </w:p>
    <w:p w:rsidR="002D7B3C" w:rsidRPr="002A3B6A" w:rsidRDefault="004D37F4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2.7. </w:t>
      </w:r>
      <w:r w:rsidR="002D7B3C" w:rsidRPr="002A3B6A">
        <w:rPr>
          <w:rFonts w:ascii="Arial" w:hAnsi="Arial" w:cs="Arial"/>
          <w:sz w:val="24"/>
          <w:szCs w:val="24"/>
        </w:rPr>
        <w:t xml:space="preserve">Clientes que mantienen relaciones contractuales con el gobierno: </w:t>
      </w:r>
      <w:r w:rsidR="00837765" w:rsidRPr="002A3B6A">
        <w:rPr>
          <w:rFonts w:ascii="Arial" w:hAnsi="Arial" w:cs="Arial"/>
          <w:sz w:val="24"/>
          <w:szCs w:val="24"/>
        </w:rPr>
        <w:t>Corresponde a clientes que mantengan contratos con el gobierno.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3.</w:t>
      </w:r>
      <w:r w:rsidR="00DC142A">
        <w:rPr>
          <w:rFonts w:ascii="Arial" w:hAnsi="Arial" w:cs="Arial"/>
          <w:sz w:val="24"/>
          <w:szCs w:val="24"/>
        </w:rPr>
        <w:t xml:space="preserve"> Clientes clasificados como Persona Expuesta Políticamente (PEP)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3.1. Nacionales: Corresponde a los clientes que el Banco ha clasificado como </w:t>
      </w:r>
      <w:r w:rsidR="00DC142A">
        <w:rPr>
          <w:rFonts w:ascii="Arial" w:hAnsi="Arial" w:cs="Arial"/>
          <w:sz w:val="24"/>
          <w:szCs w:val="24"/>
        </w:rPr>
        <w:t>PEP</w:t>
      </w:r>
      <w:r w:rsidRPr="002A3B6A">
        <w:rPr>
          <w:rFonts w:ascii="Arial" w:hAnsi="Arial" w:cs="Arial"/>
          <w:sz w:val="24"/>
          <w:szCs w:val="24"/>
        </w:rPr>
        <w:t xml:space="preserve"> de nacionalidad panameña</w:t>
      </w:r>
      <w:r w:rsidR="0096531C" w:rsidRPr="002A3B6A">
        <w:rPr>
          <w:rFonts w:ascii="Arial" w:hAnsi="Arial" w:cs="Arial"/>
          <w:sz w:val="24"/>
          <w:szCs w:val="24"/>
        </w:rPr>
        <w:t>.</w:t>
      </w:r>
      <w:r w:rsidRPr="002A3B6A">
        <w:rPr>
          <w:rFonts w:ascii="Arial" w:hAnsi="Arial" w:cs="Arial"/>
          <w:sz w:val="24"/>
          <w:szCs w:val="24"/>
        </w:rPr>
        <w:t xml:space="preserve">  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3.2. Extranjeros: Corresponde a los clientes que el Banco ha clasificado como </w:t>
      </w:r>
      <w:r w:rsidR="00DC142A">
        <w:rPr>
          <w:rFonts w:ascii="Arial" w:hAnsi="Arial" w:cs="Arial"/>
          <w:sz w:val="24"/>
          <w:szCs w:val="24"/>
        </w:rPr>
        <w:t>PEP</w:t>
      </w:r>
      <w:r w:rsidRPr="002A3B6A">
        <w:rPr>
          <w:rFonts w:ascii="Arial" w:hAnsi="Arial" w:cs="Arial"/>
          <w:sz w:val="24"/>
          <w:szCs w:val="24"/>
        </w:rPr>
        <w:t xml:space="preserve"> de nacionalidad extranjera</w:t>
      </w:r>
      <w:r w:rsidR="0096531C" w:rsidRPr="002A3B6A">
        <w:rPr>
          <w:rFonts w:ascii="Arial" w:hAnsi="Arial" w:cs="Arial"/>
          <w:sz w:val="24"/>
          <w:szCs w:val="24"/>
        </w:rPr>
        <w:t>.</w:t>
      </w:r>
      <w:r w:rsidRPr="002A3B6A">
        <w:rPr>
          <w:rFonts w:ascii="Arial" w:hAnsi="Arial" w:cs="Arial"/>
          <w:sz w:val="24"/>
          <w:szCs w:val="24"/>
        </w:rPr>
        <w:t xml:space="preserve"> 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4. Otras categorías de clientes 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4.1. Clientes en Zonas Francas: Total de clientes que operan en zona franca.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4.2. Clientes que utilizan cuantías elevadas de dinero: Correspondiente a los principales cien (100) clientes que utilicen cuantías elevadas de dinero (Depósitos).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4.3. Clientes que sean fideicomisos: Clientes que se deriven de contratos fiduciarios sea o no cuando el Banco actúa como fiduciario.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5. Clasificación de clientes por riesgo por parte del Banco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5.1. Alto: Corresponde a los clientes que el Banco ha clasificado como de alto riesgo.  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5.2. Medio: Corresponde a los clientes que el Banco ha clasificado como de medio riesgo.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5.3. Bajo: Corresponde a los clientes que el Banco ha clasificado como de bajo riesgo.</w:t>
      </w:r>
    </w:p>
    <w:p w:rsidR="002D7B3C" w:rsidRPr="002A3B6A" w:rsidRDefault="002D7B3C" w:rsidP="002D7B3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687D3A">
      <w:pPr>
        <w:pStyle w:val="Prrafodelista"/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 w:rsidRPr="002A3B6A">
        <w:rPr>
          <w:rFonts w:ascii="Arial" w:hAnsi="Arial" w:cs="Arial"/>
          <w:b/>
          <w:sz w:val="24"/>
          <w:szCs w:val="24"/>
        </w:rPr>
        <w:t>INFORMACIÓN DE RIESGO PRODUCTOS Y SERVICIOS:</w:t>
      </w:r>
    </w:p>
    <w:p w:rsidR="002D7B3C" w:rsidRPr="002A3B6A" w:rsidRDefault="002D7B3C" w:rsidP="002D7B3C">
      <w:pPr>
        <w:autoSpaceDE w:val="0"/>
        <w:autoSpaceDN w:val="0"/>
        <w:ind w:left="72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Para la información del riesgo de produc</w:t>
      </w:r>
      <w:r w:rsidR="00F72019" w:rsidRPr="002A3B6A">
        <w:rPr>
          <w:rFonts w:ascii="Arial" w:hAnsi="Arial" w:cs="Arial"/>
          <w:sz w:val="24"/>
          <w:szCs w:val="24"/>
        </w:rPr>
        <w:t>tos y servicios que se detalla</w:t>
      </w:r>
      <w:r w:rsidRPr="002A3B6A">
        <w:rPr>
          <w:rFonts w:ascii="Arial" w:hAnsi="Arial" w:cs="Arial"/>
          <w:sz w:val="24"/>
          <w:szCs w:val="24"/>
        </w:rPr>
        <w:t xml:space="preserve"> a continuación se requiere tanto la cantidad de clientes como el volumen transaccional – </w:t>
      </w:r>
      <w:r w:rsidR="00330784" w:rsidRPr="002A3B6A">
        <w:rPr>
          <w:rFonts w:ascii="Arial" w:hAnsi="Arial" w:cs="Arial"/>
          <w:sz w:val="24"/>
          <w:szCs w:val="24"/>
        </w:rPr>
        <w:t xml:space="preserve">la sumatoria del </w:t>
      </w:r>
      <w:r w:rsidR="00835318">
        <w:rPr>
          <w:rFonts w:ascii="Arial" w:hAnsi="Arial" w:cs="Arial"/>
          <w:sz w:val="24"/>
          <w:szCs w:val="24"/>
        </w:rPr>
        <w:t xml:space="preserve">saldo </w:t>
      </w:r>
      <w:r w:rsidR="00330784" w:rsidRPr="002A3B6A">
        <w:rPr>
          <w:rFonts w:ascii="Arial" w:hAnsi="Arial" w:cs="Arial"/>
          <w:sz w:val="24"/>
          <w:szCs w:val="24"/>
        </w:rPr>
        <w:t>del préstamo.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2A3B6A">
        <w:rPr>
          <w:rFonts w:ascii="Arial" w:hAnsi="Arial" w:cs="Arial"/>
          <w:b/>
          <w:sz w:val="24"/>
          <w:szCs w:val="24"/>
        </w:rPr>
        <w:t>Relación de Productos Activos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lastRenderedPageBreak/>
        <w:t>1. Préstamos de consumo</w:t>
      </w:r>
      <w:r w:rsidR="0070212B" w:rsidRPr="002A3B6A">
        <w:rPr>
          <w:rFonts w:ascii="Arial" w:hAnsi="Arial" w:cs="Arial"/>
          <w:sz w:val="24"/>
          <w:szCs w:val="24"/>
        </w:rPr>
        <w:t>: esta variable corresponde a clientes que mantienen préstamos de consumo y la variable transaccional</w:t>
      </w:r>
      <w:r w:rsidR="00837765" w:rsidRPr="002A3B6A">
        <w:rPr>
          <w:rFonts w:ascii="Arial" w:hAnsi="Arial" w:cs="Arial"/>
          <w:sz w:val="24"/>
          <w:szCs w:val="24"/>
        </w:rPr>
        <w:t xml:space="preserve"> corresponde a </w:t>
      </w:r>
      <w:r w:rsidR="00835318" w:rsidRPr="002A3B6A">
        <w:rPr>
          <w:rFonts w:ascii="Arial" w:hAnsi="Arial" w:cs="Arial"/>
          <w:sz w:val="24"/>
          <w:szCs w:val="24"/>
        </w:rPr>
        <w:t xml:space="preserve">la sumatoria del </w:t>
      </w:r>
      <w:r w:rsidR="00835318">
        <w:rPr>
          <w:rFonts w:ascii="Arial" w:hAnsi="Arial" w:cs="Arial"/>
          <w:sz w:val="24"/>
          <w:szCs w:val="24"/>
        </w:rPr>
        <w:t xml:space="preserve">saldo </w:t>
      </w:r>
      <w:r w:rsidR="00835318" w:rsidRPr="002A3B6A">
        <w:rPr>
          <w:rFonts w:ascii="Arial" w:hAnsi="Arial" w:cs="Arial"/>
          <w:sz w:val="24"/>
          <w:szCs w:val="24"/>
        </w:rPr>
        <w:t>del préstamo</w:t>
      </w:r>
      <w:r w:rsidR="00835318">
        <w:rPr>
          <w:rFonts w:ascii="Arial" w:hAnsi="Arial" w:cs="Arial"/>
          <w:sz w:val="24"/>
          <w:szCs w:val="24"/>
        </w:rPr>
        <w:t xml:space="preserve"> al corte del periodo.</w:t>
      </w:r>
    </w:p>
    <w:p w:rsidR="0070212B" w:rsidRPr="002A3B6A" w:rsidRDefault="002D7B3C" w:rsidP="0070212B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2. Préstamos comerciales</w:t>
      </w:r>
      <w:r w:rsidR="0070212B" w:rsidRPr="002A3B6A">
        <w:rPr>
          <w:rFonts w:ascii="Arial" w:hAnsi="Arial" w:cs="Arial"/>
          <w:sz w:val="24"/>
          <w:szCs w:val="24"/>
        </w:rPr>
        <w:t>: esta variable corresponde a clientes que mantienen préstamos comerciales y la variable transacciona</w:t>
      </w:r>
      <w:r w:rsidR="00837765" w:rsidRPr="002A3B6A">
        <w:rPr>
          <w:rFonts w:ascii="Arial" w:hAnsi="Arial" w:cs="Arial"/>
          <w:sz w:val="24"/>
          <w:szCs w:val="24"/>
        </w:rPr>
        <w:t>l corresponde a la sumatoria de</w:t>
      </w:r>
      <w:r w:rsidR="0070212B" w:rsidRPr="002A3B6A">
        <w:rPr>
          <w:rFonts w:ascii="Arial" w:hAnsi="Arial" w:cs="Arial"/>
          <w:sz w:val="24"/>
          <w:szCs w:val="24"/>
        </w:rPr>
        <w:t xml:space="preserve">l </w:t>
      </w:r>
      <w:r w:rsidR="00E73B30" w:rsidRPr="002A3B6A">
        <w:rPr>
          <w:rFonts w:ascii="Arial" w:hAnsi="Arial" w:cs="Arial"/>
          <w:sz w:val="24"/>
          <w:szCs w:val="24"/>
        </w:rPr>
        <w:t>préstamo</w:t>
      </w:r>
      <w:r w:rsidR="00E73B30">
        <w:rPr>
          <w:rFonts w:ascii="Arial" w:hAnsi="Arial" w:cs="Arial"/>
          <w:sz w:val="24"/>
          <w:szCs w:val="24"/>
        </w:rPr>
        <w:t xml:space="preserve"> al corte del periodo.</w:t>
      </w:r>
    </w:p>
    <w:p w:rsidR="0070212B" w:rsidRPr="002A3B6A" w:rsidRDefault="002D7B3C" w:rsidP="0070212B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3. Préstamos hipotecarios</w:t>
      </w:r>
      <w:r w:rsidR="0070212B" w:rsidRPr="002A3B6A">
        <w:rPr>
          <w:rFonts w:ascii="Arial" w:hAnsi="Arial" w:cs="Arial"/>
          <w:sz w:val="24"/>
          <w:szCs w:val="24"/>
        </w:rPr>
        <w:t xml:space="preserve">: esta variable corresponde a clientes que mantienen préstamos hipotecarios y la variable transaccional corresponde a la sumatoria del </w:t>
      </w:r>
      <w:r w:rsidR="00E73B30" w:rsidRPr="002A3B6A">
        <w:rPr>
          <w:rFonts w:ascii="Arial" w:hAnsi="Arial" w:cs="Arial"/>
          <w:sz w:val="24"/>
          <w:szCs w:val="24"/>
        </w:rPr>
        <w:t>préstamo</w:t>
      </w:r>
      <w:r w:rsidR="00E73B30">
        <w:rPr>
          <w:rFonts w:ascii="Arial" w:hAnsi="Arial" w:cs="Arial"/>
          <w:sz w:val="24"/>
          <w:szCs w:val="24"/>
        </w:rPr>
        <w:t xml:space="preserve"> al corte del periodo.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4. Prestamos back to back: la información para préstamos back to back corresponde tanto a consumo como a comercial.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4.1. Depósitos y crédito</w:t>
      </w:r>
      <w:r w:rsidR="00330784" w:rsidRPr="002A3B6A">
        <w:rPr>
          <w:rFonts w:ascii="Arial" w:hAnsi="Arial" w:cs="Arial"/>
          <w:sz w:val="24"/>
          <w:szCs w:val="24"/>
        </w:rPr>
        <w:t>s</w:t>
      </w:r>
      <w:r w:rsidRPr="002A3B6A">
        <w:rPr>
          <w:rFonts w:ascii="Arial" w:hAnsi="Arial" w:cs="Arial"/>
          <w:sz w:val="24"/>
          <w:szCs w:val="24"/>
        </w:rPr>
        <w:t xml:space="preserve"> en el mismo banco: esta variable corresponde a clientes que mantienen préstamos back to back, en la cual el depósito y el crédito están en el mismo banco, la variable transaccional corresponde al valor del depósito que garantiza el préstamo.</w:t>
      </w:r>
    </w:p>
    <w:p w:rsidR="002D7B3C" w:rsidRPr="002A3B6A" w:rsidRDefault="002D7B3C" w:rsidP="002D7B3C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4.2. Depósitos en este banco y crédito</w:t>
      </w:r>
      <w:r w:rsidR="00330784" w:rsidRPr="002A3B6A">
        <w:rPr>
          <w:rFonts w:ascii="Arial" w:hAnsi="Arial" w:cs="Arial"/>
          <w:sz w:val="24"/>
          <w:szCs w:val="24"/>
        </w:rPr>
        <w:t>s</w:t>
      </w:r>
      <w:r w:rsidRPr="002A3B6A">
        <w:rPr>
          <w:rFonts w:ascii="Arial" w:hAnsi="Arial" w:cs="Arial"/>
          <w:sz w:val="24"/>
          <w:szCs w:val="24"/>
        </w:rPr>
        <w:t xml:space="preserve"> en otro banco: esta variable corresponde a clientes que mantienen préstamos back to back, en la cual el depósito está en el banco y el crédito está en otro banco, la variable transaccional corresponde al valor del depósito que garantiza el préstamo.</w:t>
      </w:r>
    </w:p>
    <w:p w:rsidR="002D7B3C" w:rsidRPr="002A3B6A" w:rsidRDefault="002D7B3C" w:rsidP="00897D89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4.3. Depósitos en otro banco y crédito</w:t>
      </w:r>
      <w:r w:rsidR="00330784" w:rsidRPr="002A3B6A">
        <w:rPr>
          <w:rFonts w:ascii="Arial" w:hAnsi="Arial" w:cs="Arial"/>
          <w:sz w:val="24"/>
          <w:szCs w:val="24"/>
        </w:rPr>
        <w:t>s</w:t>
      </w:r>
      <w:r w:rsidRPr="002A3B6A">
        <w:rPr>
          <w:rFonts w:ascii="Arial" w:hAnsi="Arial" w:cs="Arial"/>
          <w:sz w:val="24"/>
          <w:szCs w:val="24"/>
        </w:rPr>
        <w:t xml:space="preserve"> en este banco: </w:t>
      </w:r>
      <w:r w:rsidR="00897D89" w:rsidRPr="002A3B6A">
        <w:rPr>
          <w:rFonts w:ascii="Arial" w:hAnsi="Arial" w:cs="Arial"/>
          <w:sz w:val="24"/>
          <w:szCs w:val="24"/>
        </w:rPr>
        <w:t xml:space="preserve">esta variable corresponde a clientes que mantienen préstamos back to back, en la cual el depósito está en otro banco y el crédito está en </w:t>
      </w:r>
      <w:r w:rsidR="00330784" w:rsidRPr="002A3B6A">
        <w:rPr>
          <w:rFonts w:ascii="Arial" w:hAnsi="Arial" w:cs="Arial"/>
          <w:sz w:val="24"/>
          <w:szCs w:val="24"/>
        </w:rPr>
        <w:t>este</w:t>
      </w:r>
      <w:r w:rsidR="00897D89" w:rsidRPr="002A3B6A">
        <w:rPr>
          <w:rFonts w:ascii="Arial" w:hAnsi="Arial" w:cs="Arial"/>
          <w:sz w:val="24"/>
          <w:szCs w:val="24"/>
        </w:rPr>
        <w:t xml:space="preserve"> banco, la variable transaccional </w:t>
      </w:r>
      <w:r w:rsidR="00330784" w:rsidRPr="002A3B6A">
        <w:rPr>
          <w:rFonts w:ascii="Arial" w:hAnsi="Arial" w:cs="Arial"/>
          <w:sz w:val="24"/>
          <w:szCs w:val="24"/>
        </w:rPr>
        <w:t xml:space="preserve">la sumatoria del </w:t>
      </w:r>
      <w:r w:rsidR="00E73B30" w:rsidRPr="002A3B6A">
        <w:rPr>
          <w:rFonts w:ascii="Arial" w:hAnsi="Arial" w:cs="Arial"/>
          <w:sz w:val="24"/>
          <w:szCs w:val="24"/>
        </w:rPr>
        <w:t>préstamo</w:t>
      </w:r>
      <w:r w:rsidR="00E73B30">
        <w:rPr>
          <w:rFonts w:ascii="Arial" w:hAnsi="Arial" w:cs="Arial"/>
          <w:sz w:val="24"/>
          <w:szCs w:val="24"/>
        </w:rPr>
        <w:t xml:space="preserve"> al corte del periodo.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2A3B6A">
        <w:rPr>
          <w:rFonts w:ascii="Arial" w:hAnsi="Arial" w:cs="Arial"/>
          <w:b/>
          <w:sz w:val="24"/>
          <w:szCs w:val="24"/>
        </w:rPr>
        <w:t>Relación de Productos Pasivos</w:t>
      </w:r>
    </w:p>
    <w:p w:rsidR="002D7B3C" w:rsidRPr="002A3B6A" w:rsidRDefault="00897D89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5</w:t>
      </w:r>
      <w:r w:rsidR="002D7B3C" w:rsidRPr="002A3B6A">
        <w:rPr>
          <w:rFonts w:ascii="Arial" w:hAnsi="Arial" w:cs="Arial"/>
          <w:sz w:val="24"/>
          <w:szCs w:val="24"/>
        </w:rPr>
        <w:t xml:space="preserve">. Cuentas corrientes: </w:t>
      </w:r>
      <w:r w:rsidR="00173BD2" w:rsidRPr="002A3B6A">
        <w:rPr>
          <w:rFonts w:ascii="Arial" w:hAnsi="Arial" w:cs="Arial"/>
          <w:sz w:val="24"/>
          <w:szCs w:val="24"/>
        </w:rPr>
        <w:t xml:space="preserve">corresponde a </w:t>
      </w:r>
      <w:r w:rsidR="00D6655F" w:rsidRPr="002A3B6A">
        <w:rPr>
          <w:rFonts w:ascii="Arial" w:hAnsi="Arial" w:cs="Arial"/>
          <w:sz w:val="24"/>
          <w:szCs w:val="24"/>
        </w:rPr>
        <w:t>la cantidad de cuentas corrientes y al total de depósitos recibidos durante el periodo.</w:t>
      </w:r>
    </w:p>
    <w:p w:rsidR="00173BD2" w:rsidRPr="002A3B6A" w:rsidRDefault="00897D89" w:rsidP="00173BD2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6</w:t>
      </w:r>
      <w:r w:rsidR="002D7B3C" w:rsidRPr="002A3B6A">
        <w:rPr>
          <w:rFonts w:ascii="Arial" w:hAnsi="Arial" w:cs="Arial"/>
          <w:sz w:val="24"/>
          <w:szCs w:val="24"/>
        </w:rPr>
        <w:t xml:space="preserve">. Cuentas de Ahorro: </w:t>
      </w:r>
      <w:r w:rsidR="00D6655F" w:rsidRPr="002A3B6A">
        <w:rPr>
          <w:rFonts w:ascii="Arial" w:hAnsi="Arial" w:cs="Arial"/>
          <w:sz w:val="24"/>
          <w:szCs w:val="24"/>
        </w:rPr>
        <w:t>corresponde a la cantidad de cuentas de ahorro y al total de depósitos recibidos durante el periodo.</w:t>
      </w:r>
    </w:p>
    <w:p w:rsidR="00173BD2" w:rsidRPr="002A3B6A" w:rsidRDefault="00897D89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7</w:t>
      </w:r>
      <w:r w:rsidR="002D7B3C" w:rsidRPr="002A3B6A">
        <w:rPr>
          <w:rFonts w:ascii="Arial" w:hAnsi="Arial" w:cs="Arial"/>
          <w:sz w:val="24"/>
          <w:szCs w:val="24"/>
        </w:rPr>
        <w:t xml:space="preserve">. Depósitos a plazo: </w:t>
      </w:r>
      <w:r w:rsidR="001C7E9D" w:rsidRPr="002A3B6A">
        <w:rPr>
          <w:rFonts w:ascii="Arial" w:hAnsi="Arial" w:cs="Arial"/>
          <w:sz w:val="24"/>
          <w:szCs w:val="24"/>
        </w:rPr>
        <w:t>corresponde a la cantidad de cuentas a plazo y al total de depósitos recibidos durante el periodo.</w:t>
      </w:r>
    </w:p>
    <w:p w:rsidR="002D7B3C" w:rsidRPr="002A3B6A" w:rsidRDefault="00897D89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8</w:t>
      </w:r>
      <w:r w:rsidR="002D7B3C" w:rsidRPr="002A3B6A">
        <w:rPr>
          <w:rFonts w:ascii="Arial" w:hAnsi="Arial" w:cs="Arial"/>
          <w:sz w:val="24"/>
          <w:szCs w:val="24"/>
        </w:rPr>
        <w:t>. Cuentas bancarias cifradas</w:t>
      </w:r>
      <w:r w:rsidR="00173BD2" w:rsidRPr="002A3B6A">
        <w:rPr>
          <w:rFonts w:ascii="Arial" w:hAnsi="Arial" w:cs="Arial"/>
          <w:sz w:val="24"/>
          <w:szCs w:val="24"/>
        </w:rPr>
        <w:t>: indicar si mantienen o no cuentas cifradas</w:t>
      </w:r>
      <w:r w:rsidR="002D7B3C" w:rsidRPr="002A3B6A">
        <w:rPr>
          <w:rFonts w:ascii="Arial" w:hAnsi="Arial" w:cs="Arial"/>
          <w:sz w:val="24"/>
          <w:szCs w:val="24"/>
        </w:rPr>
        <w:t xml:space="preserve"> </w:t>
      </w:r>
    </w:p>
    <w:p w:rsidR="00897D89" w:rsidRPr="002A3B6A" w:rsidRDefault="00897D89" w:rsidP="00897D89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8.1. Cuentas corrientes: </w:t>
      </w:r>
      <w:r w:rsidR="00173BD2" w:rsidRPr="002A3B6A">
        <w:rPr>
          <w:rFonts w:ascii="Arial" w:hAnsi="Arial" w:cs="Arial"/>
          <w:sz w:val="24"/>
          <w:szCs w:val="24"/>
        </w:rPr>
        <w:t>corresponde a</w:t>
      </w:r>
      <w:r w:rsidR="001C7E9D" w:rsidRPr="002A3B6A">
        <w:rPr>
          <w:rFonts w:ascii="Arial" w:hAnsi="Arial" w:cs="Arial"/>
          <w:sz w:val="24"/>
          <w:szCs w:val="24"/>
        </w:rPr>
        <w:t xml:space="preserve"> la</w:t>
      </w:r>
      <w:r w:rsidR="00173BD2" w:rsidRPr="002A3B6A">
        <w:rPr>
          <w:rFonts w:ascii="Arial" w:hAnsi="Arial" w:cs="Arial"/>
          <w:sz w:val="24"/>
          <w:szCs w:val="24"/>
        </w:rPr>
        <w:t xml:space="preserve"> </w:t>
      </w:r>
      <w:r w:rsidR="001C7E9D" w:rsidRPr="002A3B6A">
        <w:rPr>
          <w:rFonts w:ascii="Arial" w:hAnsi="Arial" w:cs="Arial"/>
          <w:sz w:val="24"/>
          <w:szCs w:val="24"/>
        </w:rPr>
        <w:t>cantidad de cuentas</w:t>
      </w:r>
      <w:r w:rsidR="003F0405" w:rsidRPr="002A3B6A">
        <w:rPr>
          <w:rFonts w:ascii="Arial" w:hAnsi="Arial" w:cs="Arial"/>
          <w:sz w:val="24"/>
          <w:szCs w:val="24"/>
        </w:rPr>
        <w:t xml:space="preserve"> corrientes cifradas y el total de depósitos recibidos durante el periodo.</w:t>
      </w:r>
    </w:p>
    <w:p w:rsidR="00897D89" w:rsidRPr="002A3B6A" w:rsidRDefault="00897D89" w:rsidP="00897D89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8.2. Cuentas de Ahorro: </w:t>
      </w:r>
      <w:r w:rsidR="00173BD2" w:rsidRPr="002A3B6A">
        <w:rPr>
          <w:rFonts w:ascii="Arial" w:hAnsi="Arial" w:cs="Arial"/>
          <w:sz w:val="24"/>
          <w:szCs w:val="24"/>
        </w:rPr>
        <w:t>corresponde a clientes que manti</w:t>
      </w:r>
      <w:r w:rsidR="003F0405" w:rsidRPr="002A3B6A">
        <w:rPr>
          <w:rFonts w:ascii="Arial" w:hAnsi="Arial" w:cs="Arial"/>
          <w:sz w:val="24"/>
          <w:szCs w:val="24"/>
        </w:rPr>
        <w:t>enen cuentas de ahorro cifradas y total de depósitos recibidos durante el periodo.</w:t>
      </w:r>
    </w:p>
    <w:p w:rsidR="00173BD2" w:rsidRPr="002A3B6A" w:rsidRDefault="00173BD2" w:rsidP="00173BD2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8.3</w:t>
      </w:r>
      <w:r w:rsidR="00897D89" w:rsidRPr="002A3B6A">
        <w:rPr>
          <w:rFonts w:ascii="Arial" w:hAnsi="Arial" w:cs="Arial"/>
          <w:sz w:val="24"/>
          <w:szCs w:val="24"/>
        </w:rPr>
        <w:t xml:space="preserve">. Depósitos a plazo: </w:t>
      </w:r>
      <w:r w:rsidRPr="002A3B6A">
        <w:rPr>
          <w:rFonts w:ascii="Arial" w:hAnsi="Arial" w:cs="Arial"/>
          <w:sz w:val="24"/>
          <w:szCs w:val="24"/>
        </w:rPr>
        <w:t xml:space="preserve">corresponde </w:t>
      </w:r>
      <w:r w:rsidR="001C7E9D" w:rsidRPr="002A3B6A">
        <w:rPr>
          <w:rFonts w:ascii="Arial" w:hAnsi="Arial" w:cs="Arial"/>
          <w:sz w:val="24"/>
          <w:szCs w:val="24"/>
        </w:rPr>
        <w:t xml:space="preserve">a la cantidad de cuentas </w:t>
      </w:r>
      <w:r w:rsidRPr="002A3B6A">
        <w:rPr>
          <w:rFonts w:ascii="Arial" w:hAnsi="Arial" w:cs="Arial"/>
          <w:sz w:val="24"/>
          <w:szCs w:val="24"/>
        </w:rPr>
        <w:t xml:space="preserve">de depósito a plazo </w:t>
      </w:r>
      <w:r w:rsidR="003F0405" w:rsidRPr="002A3B6A">
        <w:rPr>
          <w:rFonts w:ascii="Arial" w:hAnsi="Arial" w:cs="Arial"/>
          <w:sz w:val="24"/>
          <w:szCs w:val="24"/>
        </w:rPr>
        <w:t>cifradas y el total de depósitos recibidos durante el periodo.</w:t>
      </w:r>
    </w:p>
    <w:p w:rsidR="003F0405" w:rsidRPr="002A3B6A" w:rsidRDefault="00173BD2" w:rsidP="003F0405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8.4.</w:t>
      </w:r>
      <w:r w:rsidR="009F5125" w:rsidRPr="002A3B6A">
        <w:rPr>
          <w:rFonts w:ascii="Arial" w:hAnsi="Arial" w:cs="Arial"/>
          <w:sz w:val="24"/>
          <w:szCs w:val="24"/>
        </w:rPr>
        <w:t xml:space="preserve"> Valores:</w:t>
      </w:r>
      <w:r w:rsidR="0070212B" w:rsidRPr="002A3B6A">
        <w:rPr>
          <w:rFonts w:ascii="Arial" w:hAnsi="Arial" w:cs="Arial"/>
          <w:sz w:val="24"/>
          <w:szCs w:val="24"/>
        </w:rPr>
        <w:t xml:space="preserve"> corresponde </w:t>
      </w:r>
      <w:r w:rsidR="003F0405" w:rsidRPr="002A3B6A">
        <w:rPr>
          <w:rFonts w:ascii="Arial" w:hAnsi="Arial" w:cs="Arial"/>
          <w:sz w:val="24"/>
          <w:szCs w:val="24"/>
        </w:rPr>
        <w:t xml:space="preserve">a la cantidad de cuentas </w:t>
      </w:r>
      <w:r w:rsidR="0070212B" w:rsidRPr="002A3B6A">
        <w:rPr>
          <w:rFonts w:ascii="Arial" w:hAnsi="Arial" w:cs="Arial"/>
          <w:sz w:val="24"/>
          <w:szCs w:val="24"/>
        </w:rPr>
        <w:t>de valores</w:t>
      </w:r>
      <w:r w:rsidR="00837765" w:rsidRPr="002A3B6A">
        <w:rPr>
          <w:rFonts w:ascii="Arial" w:hAnsi="Arial" w:cs="Arial"/>
          <w:sz w:val="24"/>
          <w:szCs w:val="24"/>
        </w:rPr>
        <w:t xml:space="preserve"> cifrada</w:t>
      </w:r>
      <w:r w:rsidR="003F0405" w:rsidRPr="002A3B6A">
        <w:rPr>
          <w:rFonts w:ascii="Arial" w:hAnsi="Arial" w:cs="Arial"/>
          <w:sz w:val="24"/>
          <w:szCs w:val="24"/>
        </w:rPr>
        <w:t>s y el total de depósitos recibidos durante el periodo.</w:t>
      </w:r>
    </w:p>
    <w:p w:rsidR="003F0405" w:rsidRPr="002A3B6A" w:rsidRDefault="00173BD2" w:rsidP="003F0405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8.5</w:t>
      </w:r>
      <w:r w:rsidR="009F5125" w:rsidRPr="002A3B6A">
        <w:rPr>
          <w:rFonts w:ascii="Arial" w:hAnsi="Arial" w:cs="Arial"/>
          <w:sz w:val="24"/>
          <w:szCs w:val="24"/>
        </w:rPr>
        <w:t>. Otros:</w:t>
      </w:r>
      <w:r w:rsidR="00743879" w:rsidRPr="002A3B6A">
        <w:rPr>
          <w:rFonts w:ascii="Arial" w:hAnsi="Arial" w:cs="Arial"/>
          <w:sz w:val="24"/>
          <w:szCs w:val="24"/>
        </w:rPr>
        <w:t xml:space="preserve"> </w:t>
      </w:r>
      <w:r w:rsidR="0070212B" w:rsidRPr="002A3B6A">
        <w:rPr>
          <w:rFonts w:ascii="Arial" w:hAnsi="Arial" w:cs="Arial"/>
          <w:sz w:val="24"/>
          <w:szCs w:val="24"/>
        </w:rPr>
        <w:t xml:space="preserve">corresponde </w:t>
      </w:r>
      <w:r w:rsidR="003F0405" w:rsidRPr="002A3B6A">
        <w:rPr>
          <w:rFonts w:ascii="Arial" w:hAnsi="Arial" w:cs="Arial"/>
          <w:sz w:val="24"/>
          <w:szCs w:val="24"/>
        </w:rPr>
        <w:t>a la cantidad de cuentas de</w:t>
      </w:r>
      <w:r w:rsidR="0070212B" w:rsidRPr="002A3B6A">
        <w:rPr>
          <w:rFonts w:ascii="Arial" w:hAnsi="Arial" w:cs="Arial"/>
          <w:sz w:val="24"/>
          <w:szCs w:val="24"/>
        </w:rPr>
        <w:t xml:space="preserve"> otros productos</w:t>
      </w:r>
      <w:r w:rsidR="003F0405" w:rsidRPr="002A3B6A">
        <w:rPr>
          <w:rFonts w:ascii="Arial" w:hAnsi="Arial" w:cs="Arial"/>
          <w:sz w:val="24"/>
          <w:szCs w:val="24"/>
        </w:rPr>
        <w:t xml:space="preserve"> que mantengan cifrados y el total de depósitos recibidos durante el periodo.</w:t>
      </w:r>
    </w:p>
    <w:p w:rsidR="00743879" w:rsidRPr="002A3B6A" w:rsidRDefault="00743879" w:rsidP="00743879">
      <w:pPr>
        <w:autoSpaceDE w:val="0"/>
        <w:autoSpaceDN w:val="0"/>
        <w:ind w:left="1416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8.5.1. Si mantiene otros productos cifrados, detallar: Detalle los productos que componen el campo de otros productos cifrados.</w:t>
      </w:r>
    </w:p>
    <w:p w:rsidR="00173BD2" w:rsidRPr="002A3B6A" w:rsidRDefault="00173BD2" w:rsidP="00173BD2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2A3B6A">
        <w:rPr>
          <w:rFonts w:ascii="Arial" w:hAnsi="Arial" w:cs="Arial"/>
          <w:b/>
          <w:sz w:val="24"/>
          <w:szCs w:val="24"/>
        </w:rPr>
        <w:t xml:space="preserve">Relación de Servicios por Riesgo </w:t>
      </w:r>
    </w:p>
    <w:p w:rsidR="003F0405" w:rsidRPr="002A3B6A" w:rsidRDefault="002D7B3C" w:rsidP="003F0405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lastRenderedPageBreak/>
        <w:t>9. Banca Privada</w:t>
      </w:r>
      <w:r w:rsidR="009F5125" w:rsidRPr="002A3B6A">
        <w:rPr>
          <w:rFonts w:ascii="Arial" w:hAnsi="Arial" w:cs="Arial"/>
          <w:sz w:val="24"/>
          <w:szCs w:val="24"/>
        </w:rPr>
        <w:t>: se refiere al total de clientes de</w:t>
      </w:r>
      <w:r w:rsidR="003F0405" w:rsidRPr="002A3B6A">
        <w:rPr>
          <w:rFonts w:ascii="Arial" w:hAnsi="Arial" w:cs="Arial"/>
          <w:sz w:val="24"/>
          <w:szCs w:val="24"/>
        </w:rPr>
        <w:t>l segmento de banca privada y al total de depósitos recibidos durante el periodo.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10. Banca corresponsal</w:t>
      </w:r>
    </w:p>
    <w:p w:rsidR="002D7B3C" w:rsidRPr="002A3B6A" w:rsidRDefault="002D7B3C" w:rsidP="003F0405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10.1. Bancos panameños (Depósitos): </w:t>
      </w:r>
      <w:r w:rsidR="000757FE" w:rsidRPr="002A3B6A">
        <w:rPr>
          <w:rFonts w:ascii="Arial" w:hAnsi="Arial" w:cs="Arial"/>
          <w:sz w:val="24"/>
          <w:szCs w:val="24"/>
        </w:rPr>
        <w:t>se refiere a los depósitos que otros bancos</w:t>
      </w:r>
      <w:r w:rsidR="00B87CB6" w:rsidRPr="002A3B6A">
        <w:rPr>
          <w:rFonts w:ascii="Arial" w:hAnsi="Arial" w:cs="Arial"/>
          <w:sz w:val="24"/>
          <w:szCs w:val="24"/>
        </w:rPr>
        <w:t xml:space="preserve"> locales</w:t>
      </w:r>
      <w:r w:rsidR="000757FE" w:rsidRPr="002A3B6A">
        <w:rPr>
          <w:rFonts w:ascii="Arial" w:hAnsi="Arial" w:cs="Arial"/>
          <w:sz w:val="24"/>
          <w:szCs w:val="24"/>
        </w:rPr>
        <w:t xml:space="preserve"> mantienen en su entidad</w:t>
      </w:r>
      <w:r w:rsidR="00B87CB6" w:rsidRPr="002A3B6A">
        <w:rPr>
          <w:rFonts w:ascii="Arial" w:hAnsi="Arial" w:cs="Arial"/>
          <w:sz w:val="24"/>
          <w:szCs w:val="24"/>
        </w:rPr>
        <w:t>.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10.2. Bancos extranjeros (Depósitos): </w:t>
      </w:r>
      <w:r w:rsidR="003F0405" w:rsidRPr="002A3B6A">
        <w:rPr>
          <w:rFonts w:ascii="Arial" w:hAnsi="Arial" w:cs="Arial"/>
          <w:sz w:val="24"/>
          <w:szCs w:val="24"/>
        </w:rPr>
        <w:t xml:space="preserve">se refiere a los depósitos que otros bancos extranjeros mantengan en su entidad, </w:t>
      </w:r>
      <w:r w:rsidR="009F5125" w:rsidRPr="002A3B6A">
        <w:rPr>
          <w:rFonts w:ascii="Arial" w:hAnsi="Arial" w:cs="Arial"/>
          <w:sz w:val="24"/>
          <w:szCs w:val="24"/>
        </w:rPr>
        <w:t>es importante considerar como extranjeros, a aquellos que no son panameños pero tienen licencia general y capital extranjero</w:t>
      </w:r>
      <w:r w:rsidR="0070212B" w:rsidRPr="002A3B6A">
        <w:rPr>
          <w:rFonts w:ascii="Arial" w:hAnsi="Arial" w:cs="Arial"/>
          <w:sz w:val="24"/>
          <w:szCs w:val="24"/>
        </w:rPr>
        <w:t>.</w:t>
      </w:r>
    </w:p>
    <w:p w:rsidR="00AD2AB6" w:rsidRPr="002A3B6A" w:rsidRDefault="002D7B3C" w:rsidP="00AD2AB6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</w:t>
      </w:r>
      <w:r w:rsidR="00AD2AB6" w:rsidRPr="002A3B6A">
        <w:rPr>
          <w:rFonts w:ascii="Arial" w:hAnsi="Arial" w:cs="Arial"/>
          <w:sz w:val="24"/>
          <w:szCs w:val="24"/>
        </w:rPr>
        <w:t>1</w:t>
      </w:r>
      <w:r w:rsidRPr="002A3B6A">
        <w:rPr>
          <w:rFonts w:ascii="Arial" w:hAnsi="Arial" w:cs="Arial"/>
          <w:sz w:val="24"/>
          <w:szCs w:val="24"/>
        </w:rPr>
        <w:t xml:space="preserve">. Fondos de Inversión: </w:t>
      </w:r>
      <w:r w:rsidR="009F5125" w:rsidRPr="002A3B6A">
        <w:rPr>
          <w:rFonts w:ascii="Arial" w:hAnsi="Arial" w:cs="Arial"/>
          <w:sz w:val="24"/>
          <w:szCs w:val="24"/>
        </w:rPr>
        <w:t>corresponde al total de clientes que mantengan fondos de inversión</w:t>
      </w:r>
      <w:r w:rsidR="00AD2AB6" w:rsidRPr="002A3B6A">
        <w:rPr>
          <w:rFonts w:ascii="Arial" w:hAnsi="Arial" w:cs="Arial"/>
          <w:sz w:val="24"/>
          <w:szCs w:val="24"/>
        </w:rPr>
        <w:t xml:space="preserve"> y el total de depósitos recibidos durante el periodo.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</w:t>
      </w:r>
      <w:r w:rsidR="00AD2AB6" w:rsidRPr="002A3B6A">
        <w:rPr>
          <w:rFonts w:ascii="Arial" w:hAnsi="Arial" w:cs="Arial"/>
          <w:sz w:val="24"/>
          <w:szCs w:val="24"/>
        </w:rPr>
        <w:t>2</w:t>
      </w:r>
      <w:r w:rsidRPr="002A3B6A">
        <w:rPr>
          <w:rFonts w:ascii="Arial" w:hAnsi="Arial" w:cs="Arial"/>
          <w:sz w:val="24"/>
          <w:szCs w:val="24"/>
        </w:rPr>
        <w:t xml:space="preserve">. Carta de crédito: </w:t>
      </w:r>
      <w:r w:rsidR="009F5125" w:rsidRPr="002A3B6A">
        <w:rPr>
          <w:rFonts w:ascii="Arial" w:hAnsi="Arial" w:cs="Arial"/>
          <w:sz w:val="24"/>
          <w:szCs w:val="24"/>
        </w:rPr>
        <w:t>corresponde al total de clientes con cartas de crédito y la sumatoria del valor de las comisiones en el periodo establecido.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</w:t>
      </w:r>
      <w:r w:rsidR="00AD2AB6" w:rsidRPr="002A3B6A">
        <w:rPr>
          <w:rFonts w:ascii="Arial" w:hAnsi="Arial" w:cs="Arial"/>
          <w:sz w:val="24"/>
          <w:szCs w:val="24"/>
        </w:rPr>
        <w:t>3</w:t>
      </w:r>
      <w:r w:rsidRPr="002A3B6A">
        <w:rPr>
          <w:rFonts w:ascii="Arial" w:hAnsi="Arial" w:cs="Arial"/>
          <w:sz w:val="24"/>
          <w:szCs w:val="24"/>
        </w:rPr>
        <w:t xml:space="preserve">. Transferencias Internacionales </w:t>
      </w:r>
    </w:p>
    <w:p w:rsidR="002D7B3C" w:rsidRPr="002A3B6A" w:rsidRDefault="00AD2AB6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13</w:t>
      </w:r>
      <w:r w:rsidR="002D7B3C" w:rsidRPr="002A3B6A">
        <w:rPr>
          <w:rFonts w:ascii="Arial" w:hAnsi="Arial" w:cs="Arial"/>
          <w:sz w:val="24"/>
          <w:szCs w:val="24"/>
        </w:rPr>
        <w:t xml:space="preserve">.1. Enviadas: </w:t>
      </w:r>
      <w:r w:rsidRPr="002A3B6A">
        <w:rPr>
          <w:rFonts w:ascii="Arial" w:hAnsi="Arial" w:cs="Arial"/>
          <w:sz w:val="24"/>
          <w:szCs w:val="24"/>
        </w:rPr>
        <w:t>volumen de las operaciones de</w:t>
      </w:r>
      <w:r w:rsidR="009F5125" w:rsidRPr="002A3B6A">
        <w:rPr>
          <w:rFonts w:ascii="Arial" w:hAnsi="Arial" w:cs="Arial"/>
          <w:sz w:val="24"/>
          <w:szCs w:val="24"/>
        </w:rPr>
        <w:t xml:space="preserve"> transferencias internacionales</w:t>
      </w:r>
      <w:r w:rsidRPr="002A3B6A">
        <w:rPr>
          <w:rFonts w:ascii="Arial" w:hAnsi="Arial" w:cs="Arial"/>
          <w:sz w:val="24"/>
          <w:szCs w:val="24"/>
        </w:rPr>
        <w:t xml:space="preserve"> (cantidad)</w:t>
      </w:r>
      <w:r w:rsidR="009F5125" w:rsidRPr="002A3B6A">
        <w:rPr>
          <w:rFonts w:ascii="Arial" w:hAnsi="Arial" w:cs="Arial"/>
          <w:sz w:val="24"/>
          <w:szCs w:val="24"/>
        </w:rPr>
        <w:t xml:space="preserve"> y la variable transaccional corresponde a la sumatoria del valor de las transferencias enviadas</w:t>
      </w:r>
      <w:r w:rsidR="002D7B3C" w:rsidRPr="002A3B6A">
        <w:rPr>
          <w:rFonts w:ascii="Arial" w:hAnsi="Arial" w:cs="Arial"/>
          <w:sz w:val="24"/>
          <w:szCs w:val="24"/>
        </w:rPr>
        <w:t xml:space="preserve"> </w:t>
      </w:r>
      <w:r w:rsidR="009F5125" w:rsidRPr="002A3B6A">
        <w:rPr>
          <w:rFonts w:ascii="Arial" w:hAnsi="Arial" w:cs="Arial"/>
          <w:sz w:val="24"/>
          <w:szCs w:val="24"/>
        </w:rPr>
        <w:t>en el periodo establecido.</w:t>
      </w:r>
    </w:p>
    <w:p w:rsidR="009F5125" w:rsidRPr="002A3B6A" w:rsidRDefault="002D7B3C" w:rsidP="009F5125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</w:t>
      </w:r>
      <w:r w:rsidR="00AD2AB6" w:rsidRPr="002A3B6A">
        <w:rPr>
          <w:rFonts w:ascii="Arial" w:hAnsi="Arial" w:cs="Arial"/>
          <w:sz w:val="24"/>
          <w:szCs w:val="24"/>
        </w:rPr>
        <w:t>3</w:t>
      </w:r>
      <w:r w:rsidRPr="002A3B6A">
        <w:rPr>
          <w:rFonts w:ascii="Arial" w:hAnsi="Arial" w:cs="Arial"/>
          <w:sz w:val="24"/>
          <w:szCs w:val="24"/>
        </w:rPr>
        <w:t xml:space="preserve">.2. Recibidas: </w:t>
      </w:r>
      <w:r w:rsidR="00AD2AB6" w:rsidRPr="002A3B6A">
        <w:rPr>
          <w:rFonts w:ascii="Arial" w:hAnsi="Arial" w:cs="Arial"/>
          <w:sz w:val="24"/>
          <w:szCs w:val="24"/>
        </w:rPr>
        <w:t>volumen de las operaciones de transferencias internacionales (cantidad) y la variable transaccional corresponde a la sumatoria del valor de las transferencias recibidas en el periodo establecido.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</w:t>
      </w:r>
      <w:r w:rsidR="00AD2AB6" w:rsidRPr="002A3B6A">
        <w:rPr>
          <w:rFonts w:ascii="Arial" w:hAnsi="Arial" w:cs="Arial"/>
          <w:sz w:val="24"/>
          <w:szCs w:val="24"/>
        </w:rPr>
        <w:t>4</w:t>
      </w:r>
      <w:r w:rsidRPr="002A3B6A">
        <w:rPr>
          <w:rFonts w:ascii="Arial" w:hAnsi="Arial" w:cs="Arial"/>
          <w:sz w:val="24"/>
          <w:szCs w:val="24"/>
        </w:rPr>
        <w:t>. Compra / Venta de divisas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</w:t>
      </w:r>
      <w:r w:rsidR="00AD2AB6" w:rsidRPr="002A3B6A">
        <w:rPr>
          <w:rFonts w:ascii="Arial" w:hAnsi="Arial" w:cs="Arial"/>
          <w:sz w:val="24"/>
          <w:szCs w:val="24"/>
        </w:rPr>
        <w:t>4</w:t>
      </w:r>
      <w:r w:rsidRPr="002A3B6A">
        <w:rPr>
          <w:rFonts w:ascii="Arial" w:hAnsi="Arial" w:cs="Arial"/>
          <w:sz w:val="24"/>
          <w:szCs w:val="24"/>
        </w:rPr>
        <w:t xml:space="preserve">.1. Compra de divisas: </w:t>
      </w:r>
      <w:r w:rsidR="00837765" w:rsidRPr="002A3B6A">
        <w:rPr>
          <w:rFonts w:ascii="Arial" w:hAnsi="Arial" w:cs="Arial"/>
          <w:sz w:val="24"/>
          <w:szCs w:val="24"/>
        </w:rPr>
        <w:t>clientes que realicen compra de moneda extranjera.</w:t>
      </w:r>
    </w:p>
    <w:p w:rsidR="002D7B3C" w:rsidRPr="002A3B6A" w:rsidRDefault="002D7B3C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</w:t>
      </w:r>
      <w:r w:rsidR="00AD2AB6" w:rsidRPr="002A3B6A">
        <w:rPr>
          <w:rFonts w:ascii="Arial" w:hAnsi="Arial" w:cs="Arial"/>
          <w:sz w:val="24"/>
          <w:szCs w:val="24"/>
        </w:rPr>
        <w:t>4</w:t>
      </w:r>
      <w:r w:rsidRPr="002A3B6A">
        <w:rPr>
          <w:rFonts w:ascii="Arial" w:hAnsi="Arial" w:cs="Arial"/>
          <w:sz w:val="24"/>
          <w:szCs w:val="24"/>
        </w:rPr>
        <w:t xml:space="preserve">.2. Venta de divisas: </w:t>
      </w:r>
      <w:r w:rsidR="00837765" w:rsidRPr="002A3B6A">
        <w:rPr>
          <w:rFonts w:ascii="Arial" w:hAnsi="Arial" w:cs="Arial"/>
          <w:sz w:val="24"/>
          <w:szCs w:val="24"/>
        </w:rPr>
        <w:t>clientes que realicen vent</w:t>
      </w:r>
      <w:r w:rsidR="00AD2AB6" w:rsidRPr="002A3B6A">
        <w:rPr>
          <w:rFonts w:ascii="Arial" w:hAnsi="Arial" w:cs="Arial"/>
          <w:sz w:val="24"/>
          <w:szCs w:val="24"/>
        </w:rPr>
        <w:t>a</w:t>
      </w:r>
      <w:r w:rsidR="00837765" w:rsidRPr="002A3B6A">
        <w:rPr>
          <w:rFonts w:ascii="Arial" w:hAnsi="Arial" w:cs="Arial"/>
          <w:sz w:val="24"/>
          <w:szCs w:val="24"/>
        </w:rPr>
        <w:t xml:space="preserve"> de moneda extranjera.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</w:t>
      </w:r>
      <w:r w:rsidR="00AD2AB6" w:rsidRPr="002A3B6A">
        <w:rPr>
          <w:rFonts w:ascii="Arial" w:hAnsi="Arial" w:cs="Arial"/>
          <w:sz w:val="24"/>
          <w:szCs w:val="24"/>
        </w:rPr>
        <w:t>5</w:t>
      </w:r>
      <w:r w:rsidRPr="002A3B6A">
        <w:rPr>
          <w:rFonts w:ascii="Arial" w:hAnsi="Arial" w:cs="Arial"/>
          <w:sz w:val="24"/>
          <w:szCs w:val="24"/>
        </w:rPr>
        <w:t>. Cajas de seguridad: Cantidad de clientes</w:t>
      </w:r>
      <w:r w:rsidRPr="002A3B6A">
        <w:rPr>
          <w:rFonts w:ascii="Arial" w:hAnsi="Arial" w:cs="Arial"/>
          <w:b/>
          <w:sz w:val="24"/>
          <w:szCs w:val="24"/>
        </w:rPr>
        <w:t xml:space="preserve"> </w:t>
      </w:r>
      <w:r w:rsidRPr="002A3B6A">
        <w:rPr>
          <w:rFonts w:ascii="Arial" w:hAnsi="Arial" w:cs="Arial"/>
          <w:sz w:val="24"/>
          <w:szCs w:val="24"/>
        </w:rPr>
        <w:t xml:space="preserve">que cuentan con el servicio de cajas de seguridad 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</w:t>
      </w:r>
      <w:r w:rsidR="00AD2AB6" w:rsidRPr="002A3B6A">
        <w:rPr>
          <w:rFonts w:ascii="Arial" w:hAnsi="Arial" w:cs="Arial"/>
          <w:sz w:val="24"/>
          <w:szCs w:val="24"/>
        </w:rPr>
        <w:t>6</w:t>
      </w:r>
      <w:r w:rsidRPr="002A3B6A">
        <w:rPr>
          <w:rFonts w:ascii="Arial" w:hAnsi="Arial" w:cs="Arial"/>
          <w:sz w:val="24"/>
          <w:szCs w:val="24"/>
        </w:rPr>
        <w:t>. Custodia (bienes /activos)</w:t>
      </w:r>
      <w:r w:rsidR="009F5125" w:rsidRPr="002A3B6A">
        <w:rPr>
          <w:rFonts w:ascii="Arial" w:hAnsi="Arial" w:cs="Arial"/>
          <w:sz w:val="24"/>
          <w:szCs w:val="24"/>
        </w:rPr>
        <w:t>:</w:t>
      </w:r>
      <w:r w:rsidRPr="002A3B6A">
        <w:rPr>
          <w:rFonts w:ascii="Arial" w:hAnsi="Arial" w:cs="Arial"/>
          <w:sz w:val="24"/>
          <w:szCs w:val="24"/>
        </w:rPr>
        <w:t xml:space="preserve"> </w:t>
      </w:r>
      <w:r w:rsidR="009F5125" w:rsidRPr="002A3B6A">
        <w:rPr>
          <w:rFonts w:ascii="Arial" w:hAnsi="Arial" w:cs="Arial"/>
          <w:sz w:val="24"/>
          <w:szCs w:val="24"/>
        </w:rPr>
        <w:t>en caso de tener este servicio, corresponde al servicio de custodia de bienes (administración de terceros) que ofrece el banco y la variable comprende el total de clientes y el</w:t>
      </w:r>
      <w:r w:rsidR="009F5125" w:rsidRPr="002A3B6A">
        <w:rPr>
          <w:rFonts w:ascii="Arial" w:hAnsi="Arial" w:cs="Arial"/>
          <w:iCs/>
          <w:sz w:val="24"/>
          <w:szCs w:val="24"/>
        </w:rPr>
        <w:t xml:space="preserve"> valor total de las custodias.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</w:t>
      </w:r>
      <w:r w:rsidR="00AD2AB6" w:rsidRPr="002A3B6A">
        <w:rPr>
          <w:rFonts w:ascii="Arial" w:hAnsi="Arial" w:cs="Arial"/>
          <w:sz w:val="24"/>
          <w:szCs w:val="24"/>
        </w:rPr>
        <w:t>7</w:t>
      </w:r>
      <w:r w:rsidRPr="002A3B6A">
        <w:rPr>
          <w:rFonts w:ascii="Arial" w:hAnsi="Arial" w:cs="Arial"/>
          <w:sz w:val="24"/>
          <w:szCs w:val="24"/>
        </w:rPr>
        <w:t>. Tarjet</w:t>
      </w:r>
      <w:r w:rsidR="00AD2AB6" w:rsidRPr="002A3B6A">
        <w:rPr>
          <w:rFonts w:ascii="Arial" w:hAnsi="Arial" w:cs="Arial"/>
          <w:sz w:val="24"/>
          <w:szCs w:val="24"/>
        </w:rPr>
        <w:t>as de crédito (Límite mayor a B</w:t>
      </w:r>
      <w:r w:rsidRPr="002A3B6A">
        <w:rPr>
          <w:rFonts w:ascii="Arial" w:hAnsi="Arial" w:cs="Arial"/>
          <w:sz w:val="24"/>
          <w:szCs w:val="24"/>
        </w:rPr>
        <w:t>/</w:t>
      </w:r>
      <w:r w:rsidR="00AD2AB6" w:rsidRPr="002A3B6A">
        <w:rPr>
          <w:rFonts w:ascii="Arial" w:hAnsi="Arial" w:cs="Arial"/>
          <w:sz w:val="24"/>
          <w:szCs w:val="24"/>
        </w:rPr>
        <w:t>.</w:t>
      </w:r>
      <w:r w:rsidRPr="002A3B6A">
        <w:rPr>
          <w:rFonts w:ascii="Arial" w:hAnsi="Arial" w:cs="Arial"/>
          <w:sz w:val="24"/>
          <w:szCs w:val="24"/>
        </w:rPr>
        <w:t xml:space="preserve">10.000): </w:t>
      </w:r>
      <w:r w:rsidR="00AD2AB6" w:rsidRPr="002A3B6A">
        <w:rPr>
          <w:rFonts w:ascii="Arial" w:hAnsi="Arial" w:cs="Arial"/>
          <w:sz w:val="24"/>
          <w:szCs w:val="24"/>
        </w:rPr>
        <w:t>corresponde a toda</w:t>
      </w:r>
      <w:r w:rsidR="009F5125" w:rsidRPr="002A3B6A">
        <w:rPr>
          <w:rFonts w:ascii="Arial" w:hAnsi="Arial" w:cs="Arial"/>
          <w:sz w:val="24"/>
          <w:szCs w:val="24"/>
        </w:rPr>
        <w:t>s l</w:t>
      </w:r>
      <w:r w:rsidR="00AD2AB6" w:rsidRPr="002A3B6A">
        <w:rPr>
          <w:rFonts w:ascii="Arial" w:hAnsi="Arial" w:cs="Arial"/>
          <w:sz w:val="24"/>
          <w:szCs w:val="24"/>
        </w:rPr>
        <w:t>a</w:t>
      </w:r>
      <w:r w:rsidR="009F5125" w:rsidRPr="002A3B6A">
        <w:rPr>
          <w:rFonts w:ascii="Arial" w:hAnsi="Arial" w:cs="Arial"/>
          <w:sz w:val="24"/>
          <w:szCs w:val="24"/>
        </w:rPr>
        <w:t xml:space="preserve">s </w:t>
      </w:r>
      <w:r w:rsidR="00AD2AB6" w:rsidRPr="002A3B6A">
        <w:rPr>
          <w:rFonts w:ascii="Arial" w:hAnsi="Arial" w:cs="Arial"/>
          <w:sz w:val="24"/>
          <w:szCs w:val="24"/>
        </w:rPr>
        <w:t>tarjetas</w:t>
      </w:r>
      <w:r w:rsidR="009F5125" w:rsidRPr="002A3B6A">
        <w:rPr>
          <w:rFonts w:ascii="Arial" w:hAnsi="Arial" w:cs="Arial"/>
          <w:sz w:val="24"/>
          <w:szCs w:val="24"/>
        </w:rPr>
        <w:t xml:space="preserve"> que mantengan tarjetas de crédito co</w:t>
      </w:r>
      <w:r w:rsidR="00AD2AB6" w:rsidRPr="002A3B6A">
        <w:rPr>
          <w:rFonts w:ascii="Arial" w:hAnsi="Arial" w:cs="Arial"/>
          <w:sz w:val="24"/>
          <w:szCs w:val="24"/>
        </w:rPr>
        <w:t>n límites mayores o iguales a B</w:t>
      </w:r>
      <w:r w:rsidR="009F5125" w:rsidRPr="002A3B6A">
        <w:rPr>
          <w:rFonts w:ascii="Arial" w:hAnsi="Arial" w:cs="Arial"/>
          <w:sz w:val="24"/>
          <w:szCs w:val="24"/>
        </w:rPr>
        <w:t>/</w:t>
      </w:r>
      <w:r w:rsidR="00AD2AB6" w:rsidRPr="002A3B6A">
        <w:rPr>
          <w:rFonts w:ascii="Arial" w:hAnsi="Arial" w:cs="Arial"/>
          <w:sz w:val="24"/>
          <w:szCs w:val="24"/>
        </w:rPr>
        <w:t>.</w:t>
      </w:r>
      <w:r w:rsidR="009F5125" w:rsidRPr="002A3B6A">
        <w:rPr>
          <w:rFonts w:ascii="Arial" w:hAnsi="Arial" w:cs="Arial"/>
          <w:sz w:val="24"/>
          <w:szCs w:val="24"/>
        </w:rPr>
        <w:t>10.000 y variable transaccional corresponde a la sumatoria de los límites establecidos.</w:t>
      </w:r>
    </w:p>
    <w:p w:rsidR="002D7B3C" w:rsidRPr="002A3B6A" w:rsidRDefault="002D7B3C" w:rsidP="002D7B3C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687D3A">
      <w:pPr>
        <w:pStyle w:val="Prrafodelista"/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 w:rsidRPr="002A3B6A">
        <w:rPr>
          <w:rFonts w:ascii="Arial" w:hAnsi="Arial" w:cs="Arial"/>
          <w:b/>
          <w:sz w:val="24"/>
          <w:szCs w:val="24"/>
        </w:rPr>
        <w:t>Información del riesgo de canales de distribución:</w:t>
      </w:r>
    </w:p>
    <w:p w:rsidR="002D7B3C" w:rsidRPr="002A3B6A" w:rsidRDefault="002D7B3C" w:rsidP="002D7B3C">
      <w:pPr>
        <w:autoSpaceDE w:val="0"/>
        <w:autoSpaceDN w:val="0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2D7B3C" w:rsidRPr="002A3B6A" w:rsidRDefault="002D7B3C" w:rsidP="00B42975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Para la información del riesgo canales </w:t>
      </w:r>
      <w:r w:rsidR="00F72019" w:rsidRPr="002A3B6A">
        <w:rPr>
          <w:rFonts w:ascii="Arial" w:hAnsi="Arial" w:cs="Arial"/>
          <w:sz w:val="24"/>
          <w:szCs w:val="24"/>
        </w:rPr>
        <w:t>de distribución que se detalla</w:t>
      </w:r>
      <w:r w:rsidRPr="002A3B6A">
        <w:rPr>
          <w:rFonts w:ascii="Arial" w:hAnsi="Arial" w:cs="Arial"/>
          <w:sz w:val="24"/>
          <w:szCs w:val="24"/>
        </w:rPr>
        <w:t xml:space="preserve"> a continuación se requiere tanto la cantidad de cliente</w:t>
      </w:r>
      <w:r w:rsidR="00BD65CA" w:rsidRPr="002A3B6A">
        <w:rPr>
          <w:rFonts w:ascii="Arial" w:hAnsi="Arial" w:cs="Arial"/>
          <w:sz w:val="24"/>
          <w:szCs w:val="24"/>
        </w:rPr>
        <w:t>s como el volumen transaccional.</w:t>
      </w:r>
    </w:p>
    <w:p w:rsidR="002D7B3C" w:rsidRPr="002A3B6A" w:rsidRDefault="002D7B3C" w:rsidP="00B42975">
      <w:pPr>
        <w:autoSpaceDE w:val="0"/>
        <w:autoSpaceDN w:val="0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2D7B3C" w:rsidRPr="002A3B6A" w:rsidRDefault="002D7B3C" w:rsidP="00B42975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 Cajeros automáticos: Corresponde a las operaciones realizadas solo por los clientes del Banco, a través de cajeros automát</w:t>
      </w:r>
      <w:r w:rsidR="002556C2" w:rsidRPr="002A3B6A">
        <w:rPr>
          <w:rFonts w:ascii="Arial" w:hAnsi="Arial" w:cs="Arial"/>
          <w:sz w:val="24"/>
          <w:szCs w:val="24"/>
        </w:rPr>
        <w:t xml:space="preserve">icos y a la sumatoria de los </w:t>
      </w:r>
      <w:r w:rsidR="00CC1C97" w:rsidRPr="002A3B6A">
        <w:rPr>
          <w:rFonts w:ascii="Arial" w:hAnsi="Arial" w:cs="Arial"/>
          <w:sz w:val="24"/>
          <w:szCs w:val="24"/>
        </w:rPr>
        <w:t>retiro</w:t>
      </w:r>
      <w:r w:rsidR="002556C2" w:rsidRPr="002A3B6A">
        <w:rPr>
          <w:rFonts w:ascii="Arial" w:hAnsi="Arial" w:cs="Arial"/>
          <w:sz w:val="24"/>
          <w:szCs w:val="24"/>
        </w:rPr>
        <w:t>s realizados durante el periodo.</w:t>
      </w:r>
    </w:p>
    <w:p w:rsidR="002556C2" w:rsidRPr="002A3B6A" w:rsidRDefault="002D7B3C" w:rsidP="002556C2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lastRenderedPageBreak/>
        <w:t>2. Internet: Corresponde a las operaciones realizadas a través del internet (e-banking</w:t>
      </w:r>
      <w:r w:rsidR="00B42975" w:rsidRPr="002A3B6A">
        <w:rPr>
          <w:rFonts w:ascii="Arial" w:hAnsi="Arial" w:cs="Arial"/>
          <w:sz w:val="24"/>
          <w:szCs w:val="24"/>
        </w:rPr>
        <w:t xml:space="preserve"> o banca en línea</w:t>
      </w:r>
      <w:r w:rsidR="002556C2" w:rsidRPr="002A3B6A">
        <w:rPr>
          <w:rFonts w:ascii="Arial" w:hAnsi="Arial" w:cs="Arial"/>
          <w:sz w:val="24"/>
          <w:szCs w:val="24"/>
        </w:rPr>
        <w:t>) y a la sumatoria de los débitos y créditos realizados durante el periodo y a la sumatoria de los débitos y créditos realizados durante el periodo.</w:t>
      </w:r>
    </w:p>
    <w:p w:rsidR="002556C2" w:rsidRPr="002A3B6A" w:rsidRDefault="002D7B3C" w:rsidP="002556C2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3. Banca móvil: </w:t>
      </w:r>
      <w:r w:rsidR="00B42975" w:rsidRPr="002A3B6A">
        <w:rPr>
          <w:rFonts w:ascii="Arial" w:hAnsi="Arial" w:cs="Arial"/>
          <w:sz w:val="24"/>
          <w:szCs w:val="24"/>
        </w:rPr>
        <w:t>Corresponde a las operaciones realizadas</w:t>
      </w:r>
      <w:r w:rsidR="002556C2" w:rsidRPr="002A3B6A">
        <w:rPr>
          <w:rFonts w:ascii="Arial" w:hAnsi="Arial" w:cs="Arial"/>
          <w:sz w:val="24"/>
          <w:szCs w:val="24"/>
        </w:rPr>
        <w:t xml:space="preserve"> a través de móvil (smartphone) y a la sumatoria de los débitos y créditos realizados durante el periodo.</w:t>
      </w:r>
    </w:p>
    <w:p w:rsidR="002556C2" w:rsidRPr="002A3B6A" w:rsidRDefault="002D7B3C" w:rsidP="002556C2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4. Corresponsales no bancarios: </w:t>
      </w:r>
      <w:r w:rsidR="00B42975" w:rsidRPr="002A3B6A">
        <w:rPr>
          <w:rFonts w:ascii="Arial" w:hAnsi="Arial" w:cs="Arial"/>
          <w:sz w:val="24"/>
          <w:szCs w:val="24"/>
        </w:rPr>
        <w:t xml:space="preserve">esta variable corresponde </w:t>
      </w:r>
      <w:r w:rsidR="002556C2" w:rsidRPr="002A3B6A">
        <w:rPr>
          <w:rFonts w:ascii="Arial" w:hAnsi="Arial" w:cs="Arial"/>
          <w:sz w:val="24"/>
          <w:szCs w:val="24"/>
        </w:rPr>
        <w:t xml:space="preserve">a las operaciones realizadas a través de </w:t>
      </w:r>
      <w:r w:rsidR="00B42975" w:rsidRPr="002A3B6A">
        <w:rPr>
          <w:rFonts w:ascii="Arial" w:hAnsi="Arial" w:cs="Arial"/>
          <w:sz w:val="24"/>
          <w:szCs w:val="24"/>
        </w:rPr>
        <w:t>corresponsales no bancarios</w:t>
      </w:r>
      <w:r w:rsidR="002556C2" w:rsidRPr="002A3B6A">
        <w:rPr>
          <w:rFonts w:ascii="Arial" w:hAnsi="Arial" w:cs="Arial"/>
          <w:sz w:val="24"/>
          <w:szCs w:val="24"/>
        </w:rPr>
        <w:t xml:space="preserve"> y a la sumatoria de los débitos y créditos realizados durante el periodo.</w:t>
      </w:r>
    </w:p>
    <w:p w:rsidR="002D7B3C" w:rsidRPr="002A3B6A" w:rsidRDefault="002D7B3C" w:rsidP="002556C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5. Caja inteligente: </w:t>
      </w:r>
      <w:r w:rsidR="002556C2" w:rsidRPr="002A3B6A">
        <w:rPr>
          <w:rFonts w:ascii="Arial" w:hAnsi="Arial" w:cs="Arial"/>
          <w:sz w:val="24"/>
          <w:szCs w:val="24"/>
        </w:rPr>
        <w:t>esta variable corresponde a las operaciones realizadas a través de caja inteligente y a la sumatoria de los débitos y créditos realizados durante el periodo.</w:t>
      </w:r>
    </w:p>
    <w:p w:rsidR="002D7B3C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A3B6A" w:rsidRPr="002A3B6A" w:rsidRDefault="002A3B6A" w:rsidP="002D7B3C">
      <w:pPr>
        <w:autoSpaceDE w:val="0"/>
        <w:autoSpaceDN w:val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D7B3C" w:rsidRPr="002A3B6A" w:rsidRDefault="002D7B3C" w:rsidP="00687D3A">
      <w:pPr>
        <w:pStyle w:val="Prrafodelista"/>
        <w:numPr>
          <w:ilvl w:val="0"/>
          <w:numId w:val="10"/>
        </w:num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  <w:r w:rsidRPr="002A3B6A">
        <w:rPr>
          <w:rFonts w:ascii="Arial" w:hAnsi="Arial" w:cs="Arial"/>
          <w:b/>
          <w:sz w:val="24"/>
          <w:szCs w:val="24"/>
        </w:rPr>
        <w:t>Información del riesgo zona geográfica:</w:t>
      </w:r>
    </w:p>
    <w:p w:rsidR="002D7B3C" w:rsidRPr="002A3B6A" w:rsidRDefault="002D7B3C" w:rsidP="002D7B3C">
      <w:pPr>
        <w:pStyle w:val="Prrafodelista"/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</w:p>
    <w:p w:rsidR="002D7B3C" w:rsidRPr="002A3B6A" w:rsidRDefault="002D7B3C" w:rsidP="00B42975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Para la información del riesgo de </w:t>
      </w:r>
      <w:r w:rsidR="00F72019" w:rsidRPr="002A3B6A">
        <w:rPr>
          <w:rFonts w:ascii="Arial" w:hAnsi="Arial" w:cs="Arial"/>
          <w:sz w:val="24"/>
          <w:szCs w:val="24"/>
        </w:rPr>
        <w:t>zona geográfica que se detalla</w:t>
      </w:r>
      <w:r w:rsidRPr="002A3B6A">
        <w:rPr>
          <w:rFonts w:ascii="Arial" w:hAnsi="Arial" w:cs="Arial"/>
          <w:sz w:val="24"/>
          <w:szCs w:val="24"/>
        </w:rPr>
        <w:t xml:space="preserve"> a continuación se requiere tanto la cantidad de clientes como el volumen transaccional </w:t>
      </w:r>
      <w:r w:rsidR="00B42975" w:rsidRPr="002A3B6A">
        <w:rPr>
          <w:rFonts w:ascii="Arial" w:hAnsi="Arial" w:cs="Arial"/>
          <w:sz w:val="24"/>
          <w:szCs w:val="24"/>
        </w:rPr>
        <w:t>–</w:t>
      </w:r>
      <w:r w:rsidRPr="002A3B6A">
        <w:rPr>
          <w:rFonts w:ascii="Arial" w:hAnsi="Arial" w:cs="Arial"/>
          <w:sz w:val="24"/>
          <w:szCs w:val="24"/>
        </w:rPr>
        <w:t xml:space="preserve"> </w:t>
      </w:r>
      <w:r w:rsidR="00A43010" w:rsidRPr="002A3B6A">
        <w:rPr>
          <w:rFonts w:ascii="Arial" w:hAnsi="Arial" w:cs="Arial"/>
          <w:sz w:val="24"/>
          <w:szCs w:val="24"/>
        </w:rPr>
        <w:t>Total de depósitos recibidos durante el periodo</w:t>
      </w:r>
      <w:r w:rsidRPr="002A3B6A">
        <w:rPr>
          <w:rFonts w:ascii="Arial" w:hAnsi="Arial" w:cs="Arial"/>
          <w:sz w:val="24"/>
          <w:szCs w:val="24"/>
        </w:rPr>
        <w:t>, de las siguientes provincias: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2D7B3C">
      <w:pPr>
        <w:pStyle w:val="Prrafodelista"/>
        <w:numPr>
          <w:ilvl w:val="0"/>
          <w:numId w:val="6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Zona Local (Panameña)</w:t>
      </w:r>
      <w:r w:rsidR="00B42975" w:rsidRPr="002A3B6A">
        <w:rPr>
          <w:rFonts w:ascii="Arial" w:hAnsi="Arial" w:cs="Arial"/>
          <w:sz w:val="24"/>
          <w:szCs w:val="24"/>
        </w:rPr>
        <w:t>: estas variables corresponden a la cantidad de clientes que el Banco mantiene en las sucursales ubicadas en dichas provincias. Además, teniendo</w:t>
      </w:r>
      <w:r w:rsidR="00B42975" w:rsidRPr="002A3B6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42975" w:rsidRPr="002A3B6A">
        <w:rPr>
          <w:rFonts w:ascii="Arial" w:hAnsi="Arial" w:cs="Arial"/>
          <w:sz w:val="24"/>
          <w:szCs w:val="24"/>
        </w:rPr>
        <w:t>en cuenta la clasificación de riesgo adoptada por el Banco, sírvase seleccionar según  corresponda, el nivel de riesgo (alto, medio o bajo) que representa las zonas geográficas nacionales descritos en los campos 1.1 al  1.10.</w:t>
      </w:r>
    </w:p>
    <w:p w:rsidR="002D7B3C" w:rsidRPr="002A3B6A" w:rsidRDefault="002D7B3C" w:rsidP="002D7B3C">
      <w:pPr>
        <w:pStyle w:val="Prrafodelista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D7B3C" w:rsidRPr="002A3B6A" w:rsidRDefault="002D7B3C" w:rsidP="00A43010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1.1. Provincia Bocas del Toro</w:t>
      </w:r>
    </w:p>
    <w:p w:rsidR="002D7B3C" w:rsidRPr="002A3B6A" w:rsidRDefault="002D7B3C" w:rsidP="00A43010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1.2. Provincia Coclé</w:t>
      </w:r>
    </w:p>
    <w:p w:rsidR="002D7B3C" w:rsidRPr="002A3B6A" w:rsidRDefault="002D7B3C" w:rsidP="00A43010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1.3. Provincia Colón</w:t>
      </w:r>
    </w:p>
    <w:p w:rsidR="002D7B3C" w:rsidRPr="002A3B6A" w:rsidRDefault="002D7B3C" w:rsidP="00A43010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1.4. Provincia Chiriquí</w:t>
      </w:r>
    </w:p>
    <w:p w:rsidR="002D7B3C" w:rsidRPr="002A3B6A" w:rsidRDefault="002D7B3C" w:rsidP="00A43010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1.5. Provincia Darién</w:t>
      </w:r>
    </w:p>
    <w:p w:rsidR="002D7B3C" w:rsidRPr="002A3B6A" w:rsidRDefault="002D7B3C" w:rsidP="00A43010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1.6. Provincia Herrera</w:t>
      </w:r>
    </w:p>
    <w:p w:rsidR="002D7B3C" w:rsidRPr="002A3B6A" w:rsidRDefault="002D7B3C" w:rsidP="00A43010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1.7. Provincia Los Santos</w:t>
      </w:r>
    </w:p>
    <w:p w:rsidR="002D7B3C" w:rsidRPr="002A3B6A" w:rsidRDefault="002D7B3C" w:rsidP="00A43010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1.8. Provincia Panamá</w:t>
      </w:r>
    </w:p>
    <w:p w:rsidR="002D7B3C" w:rsidRPr="002A3B6A" w:rsidRDefault="002D7B3C" w:rsidP="00A43010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1.9. Provincia Veraguas</w:t>
      </w:r>
    </w:p>
    <w:p w:rsidR="002D7B3C" w:rsidRPr="002A3B6A" w:rsidRDefault="002D7B3C" w:rsidP="00A43010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1.10. Provincia Panamá Oeste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</w:p>
    <w:p w:rsidR="00B42975" w:rsidRPr="002A3B6A" w:rsidRDefault="002D7B3C" w:rsidP="00B429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2. Zona Internacional</w:t>
      </w:r>
      <w:r w:rsidR="00B42975" w:rsidRPr="002A3B6A">
        <w:rPr>
          <w:rFonts w:ascii="Arial" w:hAnsi="Arial" w:cs="Arial"/>
          <w:sz w:val="24"/>
          <w:szCs w:val="24"/>
        </w:rPr>
        <w:t>: corresponde al país de domicilio declarado por el cliente.</w:t>
      </w:r>
    </w:p>
    <w:p w:rsidR="002D7B3C" w:rsidRPr="002A3B6A" w:rsidRDefault="002D7B3C" w:rsidP="002D7B3C">
      <w:pPr>
        <w:autoSpaceDE w:val="0"/>
        <w:autoSpaceDN w:val="0"/>
        <w:ind w:left="36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 </w:t>
      </w:r>
    </w:p>
    <w:p w:rsidR="00837765" w:rsidRPr="002A3B6A" w:rsidRDefault="002D7B3C" w:rsidP="00A43010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2.1. </w:t>
      </w:r>
      <w:r w:rsidR="00C15701" w:rsidRPr="00C15701">
        <w:rPr>
          <w:rFonts w:ascii="Arial" w:hAnsi="Arial" w:cs="Arial"/>
          <w:sz w:val="24"/>
          <w:szCs w:val="24"/>
        </w:rPr>
        <w:t>Jurisdicciones sujetas de sanciones de la Organización de Naciones Unidas (ONU)</w:t>
      </w:r>
      <w:r w:rsidRPr="002A3B6A">
        <w:rPr>
          <w:rFonts w:ascii="Arial" w:hAnsi="Arial" w:cs="Arial"/>
          <w:sz w:val="24"/>
          <w:szCs w:val="24"/>
        </w:rPr>
        <w:t xml:space="preserve">: </w:t>
      </w:r>
      <w:r w:rsidR="00837765" w:rsidRPr="002A3B6A">
        <w:rPr>
          <w:rFonts w:ascii="Arial" w:hAnsi="Arial" w:cs="Arial"/>
          <w:sz w:val="24"/>
          <w:szCs w:val="24"/>
        </w:rPr>
        <w:t xml:space="preserve">corresponde a los clientes que estén domiciliados en países sujetos a sanciones de </w:t>
      </w:r>
      <w:r w:rsidR="006000BB">
        <w:rPr>
          <w:rFonts w:ascii="Arial" w:hAnsi="Arial" w:cs="Arial"/>
          <w:sz w:val="24"/>
          <w:szCs w:val="24"/>
        </w:rPr>
        <w:t>ONU</w:t>
      </w:r>
      <w:bookmarkStart w:id="0" w:name="_GoBack"/>
      <w:bookmarkEnd w:id="0"/>
      <w:r w:rsidR="00A43010" w:rsidRPr="002A3B6A">
        <w:rPr>
          <w:rFonts w:ascii="Arial" w:hAnsi="Arial" w:cs="Arial"/>
          <w:sz w:val="24"/>
          <w:szCs w:val="24"/>
        </w:rPr>
        <w:t xml:space="preserve"> y total de depósitos recibidos durante el periodo.</w:t>
      </w:r>
      <w:r w:rsidR="000A2EE2" w:rsidRPr="002A3B6A">
        <w:rPr>
          <w:rFonts w:ascii="Arial" w:hAnsi="Arial" w:cs="Arial"/>
          <w:sz w:val="24"/>
          <w:szCs w:val="24"/>
        </w:rPr>
        <w:t xml:space="preserve"> Detallar los países</w:t>
      </w:r>
    </w:p>
    <w:p w:rsidR="00A43010" w:rsidRPr="002A3B6A" w:rsidRDefault="000757FE" w:rsidP="00A43010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lastRenderedPageBreak/>
        <w:t>2.2</w:t>
      </w:r>
      <w:r w:rsidR="002D7B3C" w:rsidRPr="002A3B6A">
        <w:rPr>
          <w:rFonts w:ascii="Arial" w:hAnsi="Arial" w:cs="Arial"/>
          <w:sz w:val="24"/>
          <w:szCs w:val="24"/>
        </w:rPr>
        <w:t xml:space="preserve">. Países listados por GAFI por fallas en controles: </w:t>
      </w:r>
      <w:r w:rsidR="00837765" w:rsidRPr="002A3B6A">
        <w:rPr>
          <w:rFonts w:ascii="Arial" w:hAnsi="Arial" w:cs="Arial"/>
          <w:sz w:val="24"/>
          <w:szCs w:val="24"/>
        </w:rPr>
        <w:t>corresponde a los clientes que estén domiciliados en países listados por GAFI por fallas en controles</w:t>
      </w:r>
      <w:r w:rsidR="00A43010" w:rsidRPr="002A3B6A">
        <w:rPr>
          <w:rFonts w:ascii="Arial" w:hAnsi="Arial" w:cs="Arial"/>
          <w:sz w:val="24"/>
          <w:szCs w:val="24"/>
        </w:rPr>
        <w:t xml:space="preserve"> y el total de depósitos recibidos durante el periodo.</w:t>
      </w:r>
      <w:r w:rsidR="000A2EE2" w:rsidRPr="002A3B6A">
        <w:rPr>
          <w:rFonts w:ascii="Arial" w:hAnsi="Arial" w:cs="Arial"/>
          <w:sz w:val="24"/>
          <w:szCs w:val="24"/>
        </w:rPr>
        <w:t xml:space="preserve"> Detallar los países</w:t>
      </w:r>
    </w:p>
    <w:p w:rsidR="000757FE" w:rsidRPr="002A3B6A" w:rsidRDefault="002D7B3C" w:rsidP="00A43010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2.</w:t>
      </w:r>
      <w:r w:rsidR="00A43010" w:rsidRPr="002A3B6A">
        <w:rPr>
          <w:rFonts w:ascii="Arial" w:hAnsi="Arial" w:cs="Arial"/>
          <w:sz w:val="24"/>
          <w:szCs w:val="24"/>
        </w:rPr>
        <w:t>3</w:t>
      </w:r>
      <w:r w:rsidRPr="002A3B6A">
        <w:rPr>
          <w:rFonts w:ascii="Arial" w:hAnsi="Arial" w:cs="Arial"/>
          <w:sz w:val="24"/>
          <w:szCs w:val="24"/>
        </w:rPr>
        <w:t>. Otros países de alto riesgo de acuerdo a análisis realizado por la entidad</w:t>
      </w:r>
      <w:r w:rsidR="000757FE" w:rsidRPr="002A3B6A">
        <w:rPr>
          <w:rFonts w:ascii="Arial" w:hAnsi="Arial" w:cs="Arial"/>
          <w:sz w:val="24"/>
          <w:szCs w:val="24"/>
        </w:rPr>
        <w:t>: corresponde a clientes que estén domiciliados en otros países de alto y que no estén conten</w:t>
      </w:r>
      <w:r w:rsidR="00A43010" w:rsidRPr="002A3B6A">
        <w:rPr>
          <w:rFonts w:ascii="Arial" w:hAnsi="Arial" w:cs="Arial"/>
          <w:sz w:val="24"/>
          <w:szCs w:val="24"/>
        </w:rPr>
        <w:t>idos en los listados anteriores y el total de depósitos recibidos durante el periodo.</w:t>
      </w:r>
      <w:r w:rsidR="000A2EE2" w:rsidRPr="002A3B6A">
        <w:rPr>
          <w:rFonts w:ascii="Arial" w:hAnsi="Arial" w:cs="Arial"/>
          <w:sz w:val="24"/>
          <w:szCs w:val="24"/>
        </w:rPr>
        <w:t xml:space="preserve"> Detallar los países</w:t>
      </w:r>
    </w:p>
    <w:p w:rsidR="000757FE" w:rsidRPr="002A3B6A" w:rsidRDefault="000757FE" w:rsidP="002D7B3C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</w:p>
    <w:p w:rsidR="000757FE" w:rsidRPr="002A3B6A" w:rsidRDefault="000757FE" w:rsidP="000757F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2A3B6A">
        <w:rPr>
          <w:rFonts w:ascii="Arial" w:hAnsi="Arial" w:cs="Arial"/>
          <w:sz w:val="24"/>
          <w:szCs w:val="24"/>
          <w:u w:val="single"/>
        </w:rPr>
        <w:t>Recordamos que:</w:t>
      </w:r>
    </w:p>
    <w:p w:rsidR="000757FE" w:rsidRPr="002A3B6A" w:rsidRDefault="000757FE" w:rsidP="000757F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0757FE" w:rsidRPr="002A3B6A" w:rsidRDefault="000757FE" w:rsidP="000757FE">
      <w:pPr>
        <w:pStyle w:val="Prrafodelista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La forma de remitir esta información es en forma digital en formato Excel, vía e-mail a (</w:t>
      </w:r>
      <w:hyperlink r:id="rId9" w:history="1">
        <w:r w:rsidRPr="002A3B6A">
          <w:rPr>
            <w:rStyle w:val="Hipervnculo"/>
            <w:rFonts w:ascii="Arial" w:hAnsi="Arial" w:cs="Arial"/>
            <w:sz w:val="24"/>
            <w:szCs w:val="24"/>
          </w:rPr>
          <w:t>soporte@superbancos.gob.pa</w:t>
        </w:r>
      </w:hyperlink>
      <w:r w:rsidRPr="002A3B6A">
        <w:rPr>
          <w:rFonts w:ascii="Arial" w:hAnsi="Arial" w:cs="Arial"/>
          <w:sz w:val="24"/>
          <w:szCs w:val="24"/>
        </w:rPr>
        <w:t>).</w:t>
      </w:r>
    </w:p>
    <w:p w:rsidR="000757FE" w:rsidRPr="002A3B6A" w:rsidRDefault="000757FE" w:rsidP="000757FE">
      <w:pPr>
        <w:pStyle w:val="Prrafodelista"/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>Las consultas relacionadas con este requerimiento, deben ser dirigidas al correo: (</w:t>
      </w:r>
      <w:hyperlink r:id="rId10" w:history="1">
        <w:r w:rsidRPr="002A3B6A">
          <w:rPr>
            <w:rStyle w:val="Hipervnculo"/>
            <w:rFonts w:ascii="Arial" w:hAnsi="Arial" w:cs="Arial"/>
            <w:sz w:val="24"/>
            <w:szCs w:val="24"/>
          </w:rPr>
          <w:t>soporte@superbancos.gob.pa</w:t>
        </w:r>
      </w:hyperlink>
      <w:r w:rsidRPr="002A3B6A">
        <w:rPr>
          <w:rFonts w:ascii="Arial" w:hAnsi="Arial" w:cs="Arial"/>
          <w:sz w:val="24"/>
          <w:szCs w:val="24"/>
        </w:rPr>
        <w:t>).</w:t>
      </w:r>
    </w:p>
    <w:p w:rsidR="00AE6F69" w:rsidRPr="002A3B6A" w:rsidRDefault="002D7B3C" w:rsidP="002A3B6A">
      <w:pPr>
        <w:autoSpaceDE w:val="0"/>
        <w:autoSpaceDN w:val="0"/>
        <w:ind w:left="708"/>
        <w:jc w:val="both"/>
        <w:rPr>
          <w:rFonts w:ascii="Arial" w:hAnsi="Arial" w:cs="Arial"/>
          <w:sz w:val="24"/>
          <w:szCs w:val="24"/>
        </w:rPr>
      </w:pPr>
      <w:r w:rsidRPr="002A3B6A">
        <w:rPr>
          <w:rFonts w:ascii="Arial" w:hAnsi="Arial" w:cs="Arial"/>
          <w:sz w:val="24"/>
          <w:szCs w:val="24"/>
        </w:rPr>
        <w:t xml:space="preserve"> </w:t>
      </w:r>
    </w:p>
    <w:sectPr w:rsidR="00AE6F69" w:rsidRPr="002A3B6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D4" w:rsidRDefault="00020FD4" w:rsidP="00497135">
      <w:r>
        <w:separator/>
      </w:r>
    </w:p>
  </w:endnote>
  <w:endnote w:type="continuationSeparator" w:id="0">
    <w:p w:rsidR="00020FD4" w:rsidRDefault="00020FD4" w:rsidP="0049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35" w:rsidRDefault="00497135">
    <w:pPr>
      <w:pStyle w:val="Piedepgina"/>
      <w:jc w:val="right"/>
    </w:pPr>
  </w:p>
  <w:p w:rsidR="00497135" w:rsidRDefault="00020FD4">
    <w:pPr>
      <w:pStyle w:val="Piedepgina"/>
      <w:jc w:val="right"/>
    </w:pPr>
    <w:sdt>
      <w:sdtPr>
        <w:id w:val="1510403245"/>
        <w:docPartObj>
          <w:docPartGallery w:val="Page Numbers (Bottom of Page)"/>
          <w:docPartUnique/>
        </w:docPartObj>
      </w:sdtPr>
      <w:sdtEndPr/>
      <w:sdtContent>
        <w:r w:rsidR="00497135">
          <w:fldChar w:fldCharType="begin"/>
        </w:r>
        <w:r w:rsidR="00497135">
          <w:instrText>PAGE   \* MERGEFORMAT</w:instrText>
        </w:r>
        <w:r w:rsidR="00497135">
          <w:fldChar w:fldCharType="separate"/>
        </w:r>
        <w:r w:rsidR="006000BB" w:rsidRPr="006000BB">
          <w:rPr>
            <w:noProof/>
            <w:lang w:val="es-ES"/>
          </w:rPr>
          <w:t>8</w:t>
        </w:r>
        <w:r w:rsidR="00497135">
          <w:fldChar w:fldCharType="end"/>
        </w:r>
      </w:sdtContent>
    </w:sdt>
  </w:p>
  <w:p w:rsidR="00497135" w:rsidRDefault="004971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D4" w:rsidRDefault="00020FD4" w:rsidP="00497135">
      <w:r>
        <w:separator/>
      </w:r>
    </w:p>
  </w:footnote>
  <w:footnote w:type="continuationSeparator" w:id="0">
    <w:p w:rsidR="00020FD4" w:rsidRDefault="00020FD4" w:rsidP="00497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35" w:rsidRDefault="002A3B6A">
    <w:pPr>
      <w:pStyle w:val="Encabezado"/>
    </w:pPr>
    <w:r>
      <w:rPr>
        <w:noProof/>
        <w:lang w:eastAsia="es-PA"/>
      </w:rPr>
      <w:drawing>
        <wp:anchor distT="0" distB="0" distL="114300" distR="114300" simplePos="0" relativeHeight="251658240" behindDoc="1" locked="0" layoutInCell="1" allowOverlap="1" wp14:anchorId="5873EDD8" wp14:editId="72785367">
          <wp:simplePos x="0" y="0"/>
          <wp:positionH relativeFrom="column">
            <wp:posOffset>-41910</wp:posOffset>
          </wp:positionH>
          <wp:positionV relativeFrom="paragraph">
            <wp:posOffset>-401955</wp:posOffset>
          </wp:positionV>
          <wp:extent cx="5029200" cy="859155"/>
          <wp:effectExtent l="0" t="0" r="0" b="0"/>
          <wp:wrapThrough wrapText="bothSides">
            <wp:wrapPolygon edited="0">
              <wp:start x="0" y="0"/>
              <wp:lineTo x="0" y="21073"/>
              <wp:lineTo x="21518" y="21073"/>
              <wp:lineTo x="2151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135">
      <w:rPr>
        <w:noProof/>
        <w:lang w:eastAsia="es-P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394BD" wp14:editId="793DF1D8">
              <wp:simplePos x="0" y="0"/>
              <wp:positionH relativeFrom="column">
                <wp:posOffset>4558665</wp:posOffset>
              </wp:positionH>
              <wp:positionV relativeFrom="paragraph">
                <wp:posOffset>74295</wp:posOffset>
              </wp:positionV>
              <wp:extent cx="1352550" cy="247650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7135" w:rsidRDefault="00497135" w:rsidP="00497135">
                          <w:pPr>
                            <w:autoSpaceDE w:val="0"/>
                            <w:autoSpaceDN w:val="0"/>
                            <w:jc w:val="center"/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</w:rPr>
                            <w:t>Anexo 2</w:t>
                          </w:r>
                        </w:p>
                        <w:p w:rsidR="00497135" w:rsidRDefault="004971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358.95pt;margin-top:5.85pt;width:106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" fillcolor="white [3201]" stroked="f" strokeweight=".5pt">
              <v:textbox>
                <w:txbxContent>
                  <w:p w:rsidR="00497135" w:rsidRDefault="00497135" w:rsidP="00497135">
                    <w:pPr>
                      <w:autoSpaceDE w:val="0"/>
                      <w:autoSpaceDN w:val="0"/>
                      <w:jc w:val="center"/>
                      <w:rPr>
                        <w:rFonts w:ascii="Arial" w:hAnsi="Arial" w:cs="Arial"/>
                        <w:b/>
                        <w:color w:val="244061" w:themeColor="accent1" w:themeShade="80"/>
                      </w:rPr>
                    </w:pPr>
                    <w:r>
                      <w:rPr>
                        <w:rFonts w:ascii="Arial" w:hAnsi="Arial" w:cs="Arial"/>
                        <w:b/>
                        <w:color w:val="244061" w:themeColor="accent1" w:themeShade="80"/>
                      </w:rPr>
                      <w:t>Anexo 2</w:t>
                    </w:r>
                  </w:p>
                  <w:p w:rsidR="00497135" w:rsidRDefault="0049713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20D"/>
    <w:multiLevelType w:val="hybridMultilevel"/>
    <w:tmpl w:val="B14A1352"/>
    <w:lvl w:ilvl="0" w:tplc="FE14F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5321"/>
    <w:multiLevelType w:val="hybridMultilevel"/>
    <w:tmpl w:val="E2F2DE1A"/>
    <w:lvl w:ilvl="0" w:tplc="18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2821"/>
    <w:multiLevelType w:val="hybridMultilevel"/>
    <w:tmpl w:val="502C2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F59E3"/>
    <w:multiLevelType w:val="hybridMultilevel"/>
    <w:tmpl w:val="E4E83AB0"/>
    <w:lvl w:ilvl="0" w:tplc="28047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D45F17"/>
    <w:multiLevelType w:val="hybridMultilevel"/>
    <w:tmpl w:val="CA6AEA6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1B">
      <w:start w:val="1"/>
      <w:numFmt w:val="lowerRoman"/>
      <w:lvlText w:val="%3."/>
      <w:lvlJc w:val="right"/>
      <w:pPr>
        <w:ind w:left="1800" w:hanging="180"/>
      </w:pPr>
    </w:lvl>
    <w:lvl w:ilvl="3" w:tplc="180A000F">
      <w:start w:val="1"/>
      <w:numFmt w:val="decimal"/>
      <w:lvlText w:val="%4."/>
      <w:lvlJc w:val="left"/>
      <w:pPr>
        <w:ind w:left="2520" w:hanging="360"/>
      </w:pPr>
    </w:lvl>
    <w:lvl w:ilvl="4" w:tplc="180A0019">
      <w:start w:val="1"/>
      <w:numFmt w:val="lowerLetter"/>
      <w:lvlText w:val="%5."/>
      <w:lvlJc w:val="left"/>
      <w:pPr>
        <w:ind w:left="3240" w:hanging="360"/>
      </w:pPr>
    </w:lvl>
    <w:lvl w:ilvl="5" w:tplc="180A001B">
      <w:start w:val="1"/>
      <w:numFmt w:val="lowerRoman"/>
      <w:lvlText w:val="%6."/>
      <w:lvlJc w:val="right"/>
      <w:pPr>
        <w:ind w:left="3960" w:hanging="180"/>
      </w:pPr>
    </w:lvl>
    <w:lvl w:ilvl="6" w:tplc="180A000F">
      <w:start w:val="1"/>
      <w:numFmt w:val="decimal"/>
      <w:lvlText w:val="%7."/>
      <w:lvlJc w:val="left"/>
      <w:pPr>
        <w:ind w:left="4680" w:hanging="360"/>
      </w:pPr>
    </w:lvl>
    <w:lvl w:ilvl="7" w:tplc="180A0019">
      <w:start w:val="1"/>
      <w:numFmt w:val="lowerLetter"/>
      <w:lvlText w:val="%8."/>
      <w:lvlJc w:val="left"/>
      <w:pPr>
        <w:ind w:left="5400" w:hanging="360"/>
      </w:pPr>
    </w:lvl>
    <w:lvl w:ilvl="8" w:tplc="180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72256B"/>
    <w:multiLevelType w:val="hybridMultilevel"/>
    <w:tmpl w:val="77E895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146B4"/>
    <w:multiLevelType w:val="hybridMultilevel"/>
    <w:tmpl w:val="D074B2D2"/>
    <w:lvl w:ilvl="0" w:tplc="F1D89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AB38AA"/>
    <w:multiLevelType w:val="hybridMultilevel"/>
    <w:tmpl w:val="82B00FD0"/>
    <w:lvl w:ilvl="0" w:tplc="24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905B4"/>
    <w:multiLevelType w:val="hybridMultilevel"/>
    <w:tmpl w:val="E6585BC2"/>
    <w:lvl w:ilvl="0" w:tplc="A16E92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61D5F"/>
    <w:multiLevelType w:val="hybridMultilevel"/>
    <w:tmpl w:val="D45A0B78"/>
    <w:lvl w:ilvl="0" w:tplc="C666D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9C7267"/>
    <w:multiLevelType w:val="hybridMultilevel"/>
    <w:tmpl w:val="DC8EB298"/>
    <w:lvl w:ilvl="0" w:tplc="7EE6A5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1F5494"/>
    <w:multiLevelType w:val="hybridMultilevel"/>
    <w:tmpl w:val="EFF056BE"/>
    <w:lvl w:ilvl="0" w:tplc="1AFC85E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743780"/>
    <w:multiLevelType w:val="hybridMultilevel"/>
    <w:tmpl w:val="5768B7B8"/>
    <w:lvl w:ilvl="0" w:tplc="147AD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2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3C"/>
    <w:rsid w:val="00020FD4"/>
    <w:rsid w:val="0003043E"/>
    <w:rsid w:val="000439DD"/>
    <w:rsid w:val="000544B3"/>
    <w:rsid w:val="00064FFC"/>
    <w:rsid w:val="000757FE"/>
    <w:rsid w:val="00077D49"/>
    <w:rsid w:val="000A2EE2"/>
    <w:rsid w:val="00165B85"/>
    <w:rsid w:val="00173BD2"/>
    <w:rsid w:val="001C7E9D"/>
    <w:rsid w:val="002556C2"/>
    <w:rsid w:val="002A3B6A"/>
    <w:rsid w:val="002B7A56"/>
    <w:rsid w:val="002D7B3C"/>
    <w:rsid w:val="0032135A"/>
    <w:rsid w:val="00330784"/>
    <w:rsid w:val="003A0E86"/>
    <w:rsid w:val="003A27EB"/>
    <w:rsid w:val="003F0405"/>
    <w:rsid w:val="00497135"/>
    <w:rsid w:val="004D37F4"/>
    <w:rsid w:val="005711E7"/>
    <w:rsid w:val="00586D7D"/>
    <w:rsid w:val="005A10CE"/>
    <w:rsid w:val="005F4B6B"/>
    <w:rsid w:val="006000BB"/>
    <w:rsid w:val="0063595E"/>
    <w:rsid w:val="00657E06"/>
    <w:rsid w:val="00687D3A"/>
    <w:rsid w:val="0070212B"/>
    <w:rsid w:val="00743879"/>
    <w:rsid w:val="00754924"/>
    <w:rsid w:val="007569B4"/>
    <w:rsid w:val="00835318"/>
    <w:rsid w:val="00837765"/>
    <w:rsid w:val="00846113"/>
    <w:rsid w:val="00897D89"/>
    <w:rsid w:val="008A2160"/>
    <w:rsid w:val="00904F6B"/>
    <w:rsid w:val="0096531C"/>
    <w:rsid w:val="009F5125"/>
    <w:rsid w:val="00A43010"/>
    <w:rsid w:val="00A823AF"/>
    <w:rsid w:val="00AA5752"/>
    <w:rsid w:val="00AD2AB6"/>
    <w:rsid w:val="00B42975"/>
    <w:rsid w:val="00B77E0F"/>
    <w:rsid w:val="00B87CB6"/>
    <w:rsid w:val="00BD65CA"/>
    <w:rsid w:val="00C15701"/>
    <w:rsid w:val="00CC1C97"/>
    <w:rsid w:val="00CE50A6"/>
    <w:rsid w:val="00D03FD9"/>
    <w:rsid w:val="00D6655F"/>
    <w:rsid w:val="00D67ED5"/>
    <w:rsid w:val="00DC142A"/>
    <w:rsid w:val="00E02ADA"/>
    <w:rsid w:val="00E73B30"/>
    <w:rsid w:val="00ED1F81"/>
    <w:rsid w:val="00F7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3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7B3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757FE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71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7135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71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135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1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1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3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7B3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757FE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71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7135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71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135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1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1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oporte@superbancos.gob.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porte@superbancos.gob.p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7D73-3DF4-467A-A4A4-657C90A5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2017-02-20T18:52:00Z</dcterms:created>
  <dcterms:modified xsi:type="dcterms:W3CDTF">2017-02-20T18:52:00Z</dcterms:modified>
</cp:coreProperties>
</file>